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5C42" w:rsidRPr="0021761B" w:rsidRDefault="00095C42" w:rsidP="00180DF7">
      <w:pPr>
        <w:pStyle w:val="AHparagraph"/>
        <w:rPr>
          <w:szCs w:val="24"/>
        </w:rPr>
      </w:pPr>
      <w:r w:rsidRPr="0021761B">
        <w:rPr>
          <w:szCs w:val="24"/>
        </w:rPr>
        <w:t>Aboriginal and Torres Strait Islander Health Practitioners are registered healthcare practitioners who provide clinical services and patient care with a focus on culturally safe practice for Aboriginal and Torres Strait Islander people.</w:t>
      </w:r>
      <w:r w:rsidR="00E3112F" w:rsidRPr="0021761B">
        <w:rPr>
          <w:szCs w:val="24"/>
        </w:rPr>
        <w:t xml:space="preserve"> </w:t>
      </w:r>
      <w:r w:rsidRPr="0021761B">
        <w:rPr>
          <w:szCs w:val="24"/>
        </w:rPr>
        <w:t>They work collaboratively within multidisciplinary healthcare teams to achieve better health outcomes for Aboriginal and Torres Strait Islander people and communities, and play a key role in facilitating relationships between Aboriginal and Torres Strait Islander patients and other health practitioners.</w:t>
      </w:r>
    </w:p>
    <w:p w:rsidR="00095C42" w:rsidRPr="0021761B" w:rsidRDefault="00095C42" w:rsidP="00180DF7">
      <w:pPr>
        <w:pStyle w:val="AHparagraph"/>
        <w:rPr>
          <w:szCs w:val="24"/>
        </w:rPr>
      </w:pPr>
      <w:r w:rsidRPr="0021761B">
        <w:rPr>
          <w:szCs w:val="24"/>
        </w:rPr>
        <w:t>To gain registration, practitioners must complete a minimum 12-month Certificate IV program of study approved by the Aboriginal and Torres Strait Islander Health Practice Board of Australia.</w:t>
      </w:r>
    </w:p>
    <w:p w:rsidR="00095C42" w:rsidRPr="0021761B" w:rsidRDefault="00095C42" w:rsidP="00180DF7">
      <w:pPr>
        <w:pStyle w:val="AHnote"/>
        <w:rPr>
          <w:b/>
          <w:bCs/>
          <w:sz w:val="24"/>
          <w:szCs w:val="24"/>
        </w:rPr>
      </w:pPr>
      <w:r w:rsidRPr="0021761B">
        <w:rPr>
          <w:sz w:val="24"/>
          <w:szCs w:val="24"/>
        </w:rPr>
        <w:t>The following analysis of the Aboriginal and Torres Strait Islander Health Practitioner workforce is drawn from the number of practitioners with general registration who were employed (487 in 2017) unless otherwise stated.</w:t>
      </w:r>
    </w:p>
    <w:p w:rsidR="003F1D4B" w:rsidRPr="0021761B" w:rsidRDefault="003F1D4B" w:rsidP="007215D5">
      <w:pPr>
        <w:pStyle w:val="AHBlackTitle"/>
      </w:pPr>
      <w:r w:rsidRPr="0021761B">
        <w:t>Workforce</w:t>
      </w:r>
      <w:r w:rsidR="009C142F" w:rsidRPr="0021761B">
        <w:t xml:space="preserve"> </w:t>
      </w:r>
    </w:p>
    <w:p w:rsidR="00095C42" w:rsidRPr="0021761B" w:rsidRDefault="00095C42" w:rsidP="00180DF7">
      <w:pPr>
        <w:pStyle w:val="AHparagraph"/>
        <w:rPr>
          <w:b/>
          <w:szCs w:val="24"/>
        </w:rPr>
      </w:pPr>
      <w:r w:rsidRPr="0021761B">
        <w:rPr>
          <w:szCs w:val="24"/>
        </w:rPr>
        <w:t>The number of registered Aboriginal and Torres Strait Islander Health Practitioners increased by 81.4% from 322 in 2014 to 584 in 2017 (average annual increase of 22.0%). The number of employed Aboriginal and Torres Strait Islander Health Practitioners (‘workforce’) increased by 83.8% from 265 to 487 over the same period (an average annual increase of 22.5%).</w:t>
      </w:r>
    </w:p>
    <w:p w:rsidR="008D461F" w:rsidRPr="0021761B" w:rsidRDefault="008D461F" w:rsidP="00402125">
      <w:pPr>
        <w:pStyle w:val="AHBlackTitle"/>
      </w:pPr>
      <w:r w:rsidRPr="0021761B">
        <w:t xml:space="preserve">Demographics </w:t>
      </w:r>
    </w:p>
    <w:p w:rsidR="00095C42" w:rsidRPr="0021761B" w:rsidRDefault="00095C42" w:rsidP="00180DF7">
      <w:pPr>
        <w:pStyle w:val="AHparagraph"/>
        <w:rPr>
          <w:szCs w:val="24"/>
        </w:rPr>
      </w:pPr>
      <w:r w:rsidRPr="0021761B">
        <w:rPr>
          <w:szCs w:val="24"/>
        </w:rPr>
        <w:t>In 2017, female practitioners comprised 75.4% of the workforce</w:t>
      </w:r>
      <w:r w:rsidR="00E3112F" w:rsidRPr="0021761B">
        <w:rPr>
          <w:szCs w:val="24"/>
        </w:rPr>
        <w:t>,</w:t>
      </w:r>
      <w:r w:rsidRPr="0021761B">
        <w:rPr>
          <w:szCs w:val="24"/>
        </w:rPr>
        <w:t xml:space="preserve"> a decrease from 76.6% in 2014. </w:t>
      </w:r>
    </w:p>
    <w:p w:rsidR="00095C42" w:rsidRPr="0021761B" w:rsidRDefault="00095C42" w:rsidP="00180DF7">
      <w:pPr>
        <w:pStyle w:val="AHparagraph"/>
        <w:rPr>
          <w:szCs w:val="24"/>
        </w:rPr>
      </w:pPr>
      <w:bookmarkStart w:id="0" w:name="_GoBack"/>
      <w:bookmarkEnd w:id="0"/>
      <w:r w:rsidRPr="0021761B">
        <w:rPr>
          <w:szCs w:val="24"/>
        </w:rPr>
        <w:t xml:space="preserve">The average age of the workforce was 45.6 years, a slight decrease from 45.9 years in 2014. The proportion of </w:t>
      </w:r>
      <w:r w:rsidR="00514637" w:rsidRPr="0021761B">
        <w:rPr>
          <w:szCs w:val="24"/>
        </w:rPr>
        <w:t>the workforce</w:t>
      </w:r>
      <w:r w:rsidRPr="0021761B">
        <w:rPr>
          <w:szCs w:val="24"/>
        </w:rPr>
        <w:t xml:space="preserve"> aged under 35 years increased from 15.5% in 2014 to 20.9%</w:t>
      </w:r>
      <w:r w:rsidR="00BD1EDF" w:rsidRPr="0021761B">
        <w:rPr>
          <w:szCs w:val="24"/>
        </w:rPr>
        <w:t xml:space="preserve"> </w:t>
      </w:r>
      <w:r w:rsidRPr="0021761B">
        <w:rPr>
          <w:szCs w:val="24"/>
        </w:rPr>
        <w:t>in 2017.</w:t>
      </w:r>
    </w:p>
    <w:p w:rsidR="003B17F8" w:rsidRPr="0021761B" w:rsidRDefault="003B17F8" w:rsidP="00402125">
      <w:pPr>
        <w:pStyle w:val="AHBlueSubtitle"/>
      </w:pPr>
      <w:r w:rsidRPr="0021761B">
        <w:t>Replacement Rate</w:t>
      </w:r>
    </w:p>
    <w:p w:rsidR="00095C42" w:rsidRPr="0021761B" w:rsidRDefault="00095C42" w:rsidP="005F5871">
      <w:pPr>
        <w:pStyle w:val="AHparagraph"/>
        <w:rPr>
          <w:szCs w:val="24"/>
        </w:rPr>
      </w:pPr>
      <w:r w:rsidRPr="0021761B">
        <w:rPr>
          <w:szCs w:val="24"/>
        </w:rPr>
        <w:t xml:space="preserve">In 2017, there were 1.3 new registrants for every Aboriginal and Torres Strait Islander Health Practitioner that did not renew their registration from 2016. </w:t>
      </w:r>
    </w:p>
    <w:p w:rsidR="009B4253" w:rsidRPr="0021761B" w:rsidRDefault="009B4253" w:rsidP="00402125">
      <w:pPr>
        <w:pStyle w:val="AHBlueSubtitle"/>
      </w:pPr>
      <w:r w:rsidRPr="0021761B">
        <w:t xml:space="preserve">Hours </w:t>
      </w:r>
      <w:r w:rsidR="005858E1" w:rsidRPr="0021761B">
        <w:t>W</w:t>
      </w:r>
      <w:r w:rsidRPr="0021761B">
        <w:t>orked</w:t>
      </w:r>
    </w:p>
    <w:p w:rsidR="00095C42" w:rsidRPr="0021761B" w:rsidRDefault="00095C42" w:rsidP="005F5871">
      <w:pPr>
        <w:pStyle w:val="AHparagraph"/>
        <w:rPr>
          <w:b/>
          <w:szCs w:val="24"/>
        </w:rPr>
      </w:pPr>
      <w:r w:rsidRPr="0021761B">
        <w:rPr>
          <w:szCs w:val="24"/>
        </w:rPr>
        <w:t>In 2017, Aboriginal and Torres Strait Islander Health Practitioners worked an average of 40.5 hours per week in total, and worked an average of 7.6 hours per week in non-clinical roles.</w:t>
      </w:r>
    </w:p>
    <w:p w:rsidR="00095C42" w:rsidRPr="0021761B" w:rsidRDefault="00095C42" w:rsidP="00FF4E20">
      <w:pPr>
        <w:pStyle w:val="AHparagraph"/>
        <w:rPr>
          <w:b/>
          <w:szCs w:val="24"/>
        </w:rPr>
      </w:pPr>
      <w:r w:rsidRPr="0021761B">
        <w:rPr>
          <w:szCs w:val="24"/>
        </w:rPr>
        <w:t>In 2017, female Aboriginal and Torres Strait Islander Health Practitioners worked an average of 40.1 hours per week, a decrease from 42.9 hours in 2014. Male practitioners worked an average of 42.0 hours per week, increasing from 40.2 hours in 2014.</w:t>
      </w:r>
    </w:p>
    <w:p w:rsidR="0039649D" w:rsidRPr="0021761B" w:rsidRDefault="00CA406B" w:rsidP="00402125">
      <w:pPr>
        <w:pStyle w:val="AHBlueSubtitle"/>
      </w:pPr>
      <w:r w:rsidRPr="0021761B">
        <w:t>Principal</w:t>
      </w:r>
      <w:r w:rsidR="000A35CA" w:rsidRPr="0021761B">
        <w:t xml:space="preserve"> </w:t>
      </w:r>
      <w:r w:rsidR="005B144A" w:rsidRPr="0021761B">
        <w:t>R</w:t>
      </w:r>
      <w:r w:rsidR="000A35CA" w:rsidRPr="0021761B">
        <w:t>ole</w:t>
      </w:r>
    </w:p>
    <w:p w:rsidR="00F0356A" w:rsidRPr="0021761B" w:rsidRDefault="00F0356A" w:rsidP="00FF4E20">
      <w:pPr>
        <w:pStyle w:val="AHparagraph"/>
        <w:rPr>
          <w:szCs w:val="24"/>
        </w:rPr>
      </w:pPr>
      <w:r w:rsidRPr="0021761B">
        <w:rPr>
          <w:szCs w:val="24"/>
        </w:rPr>
        <w:t>In 2017 82.8% Aboriginal and Torres Strait Islander Health Practitioners worked as clinician</w:t>
      </w:r>
      <w:r w:rsidR="002574DF" w:rsidRPr="0021761B">
        <w:rPr>
          <w:szCs w:val="24"/>
        </w:rPr>
        <w:t xml:space="preserve">s, </w:t>
      </w:r>
      <w:r w:rsidRPr="0021761B">
        <w:rPr>
          <w:szCs w:val="24"/>
        </w:rPr>
        <w:t xml:space="preserve">a decrease from 86.8% in 2014. </w:t>
      </w:r>
    </w:p>
    <w:p w:rsidR="00850EAC" w:rsidRPr="0021761B" w:rsidRDefault="00850EAC" w:rsidP="00402125">
      <w:pPr>
        <w:pStyle w:val="AHBlueSubtitle"/>
      </w:pPr>
      <w:r w:rsidRPr="0021761B">
        <w:t xml:space="preserve">Principal </w:t>
      </w:r>
      <w:r w:rsidR="005858E1" w:rsidRPr="0021761B">
        <w:t>W</w:t>
      </w:r>
      <w:r w:rsidRPr="0021761B">
        <w:t xml:space="preserve">ork </w:t>
      </w:r>
      <w:r w:rsidR="005858E1" w:rsidRPr="0021761B">
        <w:t>S</w:t>
      </w:r>
      <w:r w:rsidRPr="0021761B">
        <w:t>ector</w:t>
      </w:r>
      <w:r w:rsidR="005858E1" w:rsidRPr="0021761B">
        <w:t xml:space="preserve"> </w:t>
      </w:r>
    </w:p>
    <w:p w:rsidR="00787F2C" w:rsidRPr="0021761B" w:rsidRDefault="00787F2C" w:rsidP="00FF4E20">
      <w:pPr>
        <w:pStyle w:val="AHparagraph"/>
        <w:rPr>
          <w:b/>
          <w:szCs w:val="24"/>
        </w:rPr>
      </w:pPr>
      <w:r w:rsidRPr="0021761B">
        <w:rPr>
          <w:szCs w:val="24"/>
        </w:rPr>
        <w:t>In 2017, 31.4% of the workforce reported that in their principal role, they worked only in the public sector, a decrease from 33.1% in 2014.</w:t>
      </w:r>
    </w:p>
    <w:p w:rsidR="00850EAC" w:rsidRPr="0021761B" w:rsidRDefault="00AC55D5" w:rsidP="00402125">
      <w:pPr>
        <w:pStyle w:val="AHBlueSubtitle"/>
      </w:pPr>
      <w:r w:rsidRPr="0021761B">
        <w:t xml:space="preserve">Principal </w:t>
      </w:r>
      <w:r w:rsidR="005B144A" w:rsidRPr="0021761B">
        <w:t>W</w:t>
      </w:r>
      <w:r w:rsidRPr="0021761B">
        <w:t xml:space="preserve">ork </w:t>
      </w:r>
      <w:r w:rsidR="005B144A" w:rsidRPr="0021761B">
        <w:t>S</w:t>
      </w:r>
      <w:r w:rsidRPr="0021761B">
        <w:t>etting</w:t>
      </w:r>
    </w:p>
    <w:p w:rsidR="00787F2C" w:rsidRPr="0021761B" w:rsidRDefault="00787F2C" w:rsidP="00B267F1">
      <w:pPr>
        <w:pStyle w:val="AHparagraph"/>
        <w:rPr>
          <w:szCs w:val="24"/>
        </w:rPr>
      </w:pPr>
      <w:r w:rsidRPr="0021761B">
        <w:rPr>
          <w:szCs w:val="24"/>
        </w:rPr>
        <w:t>In 2017, 67.8% of Aboriginal and Torres Strait Islander Health Practitioners worked in an Aboriginal Community Controlled Health Service (ACCHS) or other Aboriginal health service</w:t>
      </w:r>
      <w:r w:rsidR="00CC5D50" w:rsidRPr="0021761B">
        <w:rPr>
          <w:szCs w:val="24"/>
        </w:rPr>
        <w:t>,</w:t>
      </w:r>
      <w:r w:rsidRPr="0021761B">
        <w:rPr>
          <w:szCs w:val="24"/>
        </w:rPr>
        <w:t xml:space="preserve"> an increase from 65.3% </w:t>
      </w:r>
      <w:r w:rsidRPr="0021761B">
        <w:rPr>
          <w:szCs w:val="24"/>
        </w:rPr>
        <w:lastRenderedPageBreak/>
        <w:t xml:space="preserve">in 2014. The proportion of the workforce in </w:t>
      </w:r>
      <w:r w:rsidR="008B62A6" w:rsidRPr="0021761B">
        <w:rPr>
          <w:szCs w:val="24"/>
        </w:rPr>
        <w:t>O</w:t>
      </w:r>
      <w:r w:rsidRPr="0021761B">
        <w:rPr>
          <w:szCs w:val="24"/>
        </w:rPr>
        <w:t>ther government departments decreased from 14.7% in 2014 to 7.8% in 2017.</w:t>
      </w:r>
    </w:p>
    <w:p w:rsidR="00787F2C" w:rsidRPr="0021761B" w:rsidRDefault="00787F2C" w:rsidP="00B267F1">
      <w:pPr>
        <w:pStyle w:val="AHparagraph"/>
        <w:rPr>
          <w:szCs w:val="24"/>
        </w:rPr>
      </w:pPr>
      <w:r w:rsidRPr="0021761B">
        <w:rPr>
          <w:szCs w:val="24"/>
        </w:rPr>
        <w:t>In 2017, Aboriginal and Torres Strait Islander Health Practitioners working in an ACCHS reported the highest average weekly hours (42.2) and those in an Other setting reported the lowest average weekly hours (31.8).</w:t>
      </w:r>
    </w:p>
    <w:p w:rsidR="00850EAC" w:rsidRPr="0021761B" w:rsidRDefault="00850EAC" w:rsidP="00402125">
      <w:pPr>
        <w:pStyle w:val="AHBlueSubtitle"/>
      </w:pPr>
      <w:r w:rsidRPr="0021761B">
        <w:t>Working Intentions</w:t>
      </w:r>
    </w:p>
    <w:p w:rsidR="00787F2C" w:rsidRPr="0021761B" w:rsidRDefault="00787F2C" w:rsidP="00FF4E20">
      <w:pPr>
        <w:pStyle w:val="AHparagraph"/>
        <w:rPr>
          <w:szCs w:val="24"/>
        </w:rPr>
      </w:pPr>
      <w:r w:rsidRPr="0021761B">
        <w:rPr>
          <w:szCs w:val="24"/>
        </w:rPr>
        <w:t>In 2017, Aboriginal and Torres Strait Islander Health Practitioners had, on average, worked in the profession for 8 years and intended to work for another 13 years.</w:t>
      </w:r>
      <w:r w:rsidR="00E3112F" w:rsidRPr="0021761B">
        <w:rPr>
          <w:szCs w:val="24"/>
        </w:rPr>
        <w:t xml:space="preserve"> </w:t>
      </w:r>
      <w:r w:rsidRPr="0021761B">
        <w:rPr>
          <w:szCs w:val="24"/>
        </w:rPr>
        <w:t xml:space="preserve">In 2014, practitioners had worked for 11 years and had intended to work for another 13 years. </w:t>
      </w:r>
    </w:p>
    <w:p w:rsidR="00850EAC" w:rsidRPr="0021761B" w:rsidRDefault="00850EAC" w:rsidP="00523792">
      <w:pPr>
        <w:pStyle w:val="Heading1"/>
      </w:pPr>
      <w:r w:rsidRPr="0021761B">
        <w:t xml:space="preserve">Distribution </w:t>
      </w:r>
    </w:p>
    <w:p w:rsidR="00850EAC" w:rsidRPr="0021761B" w:rsidRDefault="00850EAC" w:rsidP="00402125">
      <w:pPr>
        <w:pStyle w:val="AHBlueSubtitle"/>
      </w:pPr>
      <w:r w:rsidRPr="0021761B">
        <w:t>State and Territory</w:t>
      </w:r>
    </w:p>
    <w:p w:rsidR="00787F2C" w:rsidRPr="0021761B" w:rsidRDefault="00787F2C" w:rsidP="00FF4E20">
      <w:pPr>
        <w:pStyle w:val="AHparagraph"/>
        <w:rPr>
          <w:szCs w:val="24"/>
        </w:rPr>
      </w:pPr>
      <w:r w:rsidRPr="0021761B">
        <w:rPr>
          <w:szCs w:val="24"/>
        </w:rPr>
        <w:t>In 2017, the jurisdictions with the highest rates of full-time equivalent Aboriginal and Torres Strait Islander Health Practitioners per 100,000 indigenous population (FTE rate) were the NT, SA and WA.</w:t>
      </w:r>
      <w:r w:rsidR="00E3112F" w:rsidRPr="0021761B">
        <w:rPr>
          <w:szCs w:val="24"/>
        </w:rPr>
        <w:t xml:space="preserve"> </w:t>
      </w:r>
      <w:r w:rsidR="00E55476" w:rsidRPr="0021761B">
        <w:rPr>
          <w:szCs w:val="24"/>
        </w:rPr>
        <w:t>Between 2014 and 2017,</w:t>
      </w:r>
      <w:r w:rsidR="001545D9" w:rsidRPr="0021761B">
        <w:rPr>
          <w:szCs w:val="24"/>
        </w:rPr>
        <w:t xml:space="preserve"> </w:t>
      </w:r>
      <w:r w:rsidR="00E55476" w:rsidRPr="0021761B">
        <w:rPr>
          <w:szCs w:val="24"/>
        </w:rPr>
        <w:t>the</w:t>
      </w:r>
      <w:r w:rsidRPr="0021761B">
        <w:rPr>
          <w:szCs w:val="24"/>
        </w:rPr>
        <w:t xml:space="preserve"> total FTE rate increased from 41.3 to 68.2 and WA had the largest FTE rate increase (65.8).</w:t>
      </w:r>
      <w:r w:rsidR="00E3112F" w:rsidRPr="0021761B">
        <w:rPr>
          <w:szCs w:val="24"/>
        </w:rPr>
        <w:t xml:space="preserve"> </w:t>
      </w:r>
    </w:p>
    <w:p w:rsidR="00787F2C" w:rsidRPr="0021761B" w:rsidRDefault="00787F2C" w:rsidP="00FF4E20">
      <w:pPr>
        <w:pStyle w:val="AHparagraph"/>
        <w:rPr>
          <w:szCs w:val="24"/>
        </w:rPr>
      </w:pPr>
      <w:r w:rsidRPr="0021761B">
        <w:rPr>
          <w:szCs w:val="24"/>
        </w:rPr>
        <w:t>In 2017, Aboriginal and Torres Strait Islander Health Practitioners in VIC worked the most hours per week on average (44.0 hours) and those in the ACT worked the fewest (36.0 h</w:t>
      </w:r>
      <w:r w:rsidR="00A93B43" w:rsidRPr="0021761B">
        <w:rPr>
          <w:szCs w:val="24"/>
        </w:rPr>
        <w:t>ours).</w:t>
      </w:r>
    </w:p>
    <w:p w:rsidR="00850EAC" w:rsidRPr="0021761B" w:rsidRDefault="00850EAC" w:rsidP="00402125">
      <w:pPr>
        <w:pStyle w:val="AHBlueSubtitle"/>
      </w:pPr>
      <w:r w:rsidRPr="0021761B">
        <w:t xml:space="preserve">Remoteness </w:t>
      </w:r>
      <w:r w:rsidR="005858E1" w:rsidRPr="0021761B">
        <w:t>A</w:t>
      </w:r>
      <w:r w:rsidRPr="0021761B">
        <w:t>rea</w:t>
      </w:r>
    </w:p>
    <w:p w:rsidR="002A6090" w:rsidRDefault="002A6090" w:rsidP="00FF4E20">
      <w:pPr>
        <w:pStyle w:val="AHparagraph"/>
        <w:rPr>
          <w:szCs w:val="24"/>
        </w:rPr>
      </w:pPr>
      <w:r w:rsidRPr="0021761B">
        <w:rPr>
          <w:szCs w:val="24"/>
        </w:rPr>
        <w:t xml:space="preserve">In 2017, 44.6% of Aboriginal and Torres Strait Islander Health Practitioners worked in very remote or remote locations, compared with 57.7% in 2014. </w:t>
      </w:r>
    </w:p>
    <w:p w:rsidR="002A6090" w:rsidRPr="0021761B" w:rsidRDefault="002A6090" w:rsidP="00FF4E20">
      <w:pPr>
        <w:pStyle w:val="AHparagraph"/>
        <w:rPr>
          <w:szCs w:val="24"/>
        </w:rPr>
      </w:pPr>
      <w:r w:rsidRPr="0021761B">
        <w:rPr>
          <w:szCs w:val="24"/>
        </w:rPr>
        <w:t>Between 2014 and 2017, the largest shift in average hours worked was in inner and outer regional areas, decreasing from 43.6 hours per week in 2014 to 38.2 hours in 2017. The FTE rate increased the most in remote and very remote locations, from 114.2 FTE in 2014 to 165.8 FTE in 2017.</w:t>
      </w:r>
    </w:p>
    <w:p w:rsidR="0058702C" w:rsidRPr="0021761B" w:rsidRDefault="0058702C" w:rsidP="00402125">
      <w:pPr>
        <w:pStyle w:val="AHBlueSubtitle"/>
      </w:pPr>
      <w:r w:rsidRPr="0021761B">
        <w:t xml:space="preserve">Other </w:t>
      </w:r>
      <w:r w:rsidR="005B144A" w:rsidRPr="0021761B">
        <w:t>W</w:t>
      </w:r>
      <w:r w:rsidRPr="0021761B">
        <w:t xml:space="preserve">ork </w:t>
      </w:r>
      <w:r w:rsidR="005B144A" w:rsidRPr="0021761B">
        <w:t>L</w:t>
      </w:r>
      <w:r w:rsidRPr="0021761B">
        <w:t xml:space="preserve">ocation </w:t>
      </w:r>
      <w:r w:rsidR="00CF2D4C" w:rsidRPr="0021761B">
        <w:t xml:space="preserve">Outside </w:t>
      </w:r>
      <w:r w:rsidR="005B144A" w:rsidRPr="0021761B">
        <w:t>Major C</w:t>
      </w:r>
      <w:r w:rsidRPr="0021761B">
        <w:t>ities</w:t>
      </w:r>
    </w:p>
    <w:p w:rsidR="004132F0" w:rsidRPr="0021761B" w:rsidRDefault="005C416A" w:rsidP="00FF4E20">
      <w:pPr>
        <w:pStyle w:val="AHparagraph"/>
        <w:rPr>
          <w:szCs w:val="24"/>
        </w:rPr>
      </w:pPr>
      <w:r w:rsidRPr="0021761B">
        <w:rPr>
          <w:szCs w:val="24"/>
        </w:rPr>
        <w:t xml:space="preserve">In 2017, </w:t>
      </w:r>
      <w:r w:rsidR="00FD4AE2" w:rsidRPr="0021761B">
        <w:rPr>
          <w:szCs w:val="24"/>
        </w:rPr>
        <w:t>10.5</w:t>
      </w:r>
      <w:r w:rsidR="007D2CD0" w:rsidRPr="0021761B">
        <w:rPr>
          <w:szCs w:val="24"/>
        </w:rPr>
        <w:t xml:space="preserve">% </w:t>
      </w:r>
      <w:r w:rsidR="00CF2D4C" w:rsidRPr="0021761B">
        <w:rPr>
          <w:szCs w:val="24"/>
        </w:rPr>
        <w:t xml:space="preserve">of the </w:t>
      </w:r>
      <w:r w:rsidRPr="0021761B">
        <w:rPr>
          <w:szCs w:val="24"/>
        </w:rPr>
        <w:t xml:space="preserve">Aboriginal and Torres Strait Islander Health Practitioner </w:t>
      </w:r>
      <w:r w:rsidR="00CF2D4C" w:rsidRPr="0021761B">
        <w:rPr>
          <w:szCs w:val="24"/>
        </w:rPr>
        <w:t>workforce reported that they had worked in a regional, rural or remote location, in addition to their principal job locatio</w:t>
      </w:r>
      <w:r w:rsidR="007D2CD0" w:rsidRPr="0021761B">
        <w:rPr>
          <w:szCs w:val="24"/>
        </w:rPr>
        <w:t>n.</w:t>
      </w:r>
      <w:r w:rsidRPr="0021761B">
        <w:rPr>
          <w:szCs w:val="24"/>
        </w:rPr>
        <w:t xml:space="preserve"> Of these respondents, 1</w:t>
      </w:r>
      <w:r w:rsidR="00FD4AE2" w:rsidRPr="0021761B">
        <w:rPr>
          <w:szCs w:val="24"/>
        </w:rPr>
        <w:t>8</w:t>
      </w:r>
      <w:r w:rsidRPr="0021761B">
        <w:rPr>
          <w:szCs w:val="24"/>
        </w:rPr>
        <w:t>.</w:t>
      </w:r>
      <w:r w:rsidR="007D2CD0" w:rsidRPr="0021761B">
        <w:rPr>
          <w:szCs w:val="24"/>
        </w:rPr>
        <w:t xml:space="preserve">0% </w:t>
      </w:r>
      <w:r w:rsidR="00CF2D4C" w:rsidRPr="0021761B">
        <w:rPr>
          <w:szCs w:val="24"/>
        </w:rPr>
        <w:t xml:space="preserve">had worked in an </w:t>
      </w:r>
      <w:r w:rsidRPr="0021761B">
        <w:rPr>
          <w:szCs w:val="24"/>
        </w:rPr>
        <w:t>inner regional location, 8</w:t>
      </w:r>
      <w:r w:rsidR="007D2CD0" w:rsidRPr="0021761B">
        <w:rPr>
          <w:szCs w:val="24"/>
        </w:rPr>
        <w:t xml:space="preserve">.0% </w:t>
      </w:r>
      <w:r w:rsidR="00CF2D4C" w:rsidRPr="0021761B">
        <w:rPr>
          <w:szCs w:val="24"/>
        </w:rPr>
        <w:t>had worked in an</w:t>
      </w:r>
      <w:r w:rsidRPr="0021761B">
        <w:rPr>
          <w:szCs w:val="24"/>
        </w:rPr>
        <w:t xml:space="preserve"> </w:t>
      </w:r>
      <w:r w:rsidR="001545D9" w:rsidRPr="0021761B">
        <w:rPr>
          <w:szCs w:val="24"/>
        </w:rPr>
        <w:t xml:space="preserve">outer regional location, and </w:t>
      </w:r>
      <w:r w:rsidR="00FD4AE2" w:rsidRPr="0021761B">
        <w:rPr>
          <w:szCs w:val="24"/>
        </w:rPr>
        <w:t>48.0</w:t>
      </w:r>
      <w:r w:rsidR="007D2CD0" w:rsidRPr="0021761B">
        <w:rPr>
          <w:szCs w:val="24"/>
        </w:rPr>
        <w:t xml:space="preserve">% had worked in remote and </w:t>
      </w:r>
      <w:r w:rsidRPr="0021761B">
        <w:rPr>
          <w:szCs w:val="24"/>
        </w:rPr>
        <w:t>or</w:t>
      </w:r>
      <w:r w:rsidR="00CF2D4C" w:rsidRPr="0021761B">
        <w:rPr>
          <w:szCs w:val="24"/>
        </w:rPr>
        <w:t xml:space="preserve"> very remote locations. </w:t>
      </w:r>
    </w:p>
    <w:p w:rsidR="00850EAC" w:rsidRPr="0021761B" w:rsidRDefault="007725AA" w:rsidP="00FF4E20">
      <w:pPr>
        <w:pStyle w:val="AHBlueSubtitle"/>
      </w:pPr>
      <w:r w:rsidRPr="0021761B">
        <w:t>Modified Monash Model</w:t>
      </w:r>
      <w:r w:rsidR="00FD7BD5" w:rsidRPr="0021761B">
        <w:t xml:space="preserve"> locations</w:t>
      </w:r>
    </w:p>
    <w:p w:rsidR="00B267F1" w:rsidRPr="0021761B" w:rsidRDefault="008F702B" w:rsidP="00B267F1">
      <w:pPr>
        <w:pStyle w:val="AHparagraph"/>
        <w:rPr>
          <w:szCs w:val="24"/>
        </w:rPr>
      </w:pPr>
      <w:r w:rsidRPr="0021761B">
        <w:rPr>
          <w:szCs w:val="24"/>
        </w:rPr>
        <w:t>In 2017, 48.1% of the FTE Aboriginal and Torres Strait Islander Health Practitioners were located in the most remote MMM7 and MMM6 locations, under the Modified Monash Model (MMM) classificat</w:t>
      </w:r>
      <w:r w:rsidR="00FB550B" w:rsidRPr="0021761B">
        <w:rPr>
          <w:szCs w:val="24"/>
        </w:rPr>
        <w:t>ion system,</w:t>
      </w:r>
      <w:r w:rsidRPr="0021761B">
        <w:rPr>
          <w:szCs w:val="24"/>
        </w:rPr>
        <w:t xml:space="preserve"> a decrease from 56.9% in 2014</w:t>
      </w:r>
      <w:r w:rsidR="00B267F1" w:rsidRPr="0021761B">
        <w:rPr>
          <w:szCs w:val="24"/>
        </w:rPr>
        <w:t>.</w:t>
      </w:r>
    </w:p>
    <w:p w:rsidR="008F702B" w:rsidRPr="0021761B" w:rsidRDefault="008F702B" w:rsidP="00B267F1">
      <w:pPr>
        <w:pStyle w:val="AHnote"/>
        <w:rPr>
          <w:sz w:val="24"/>
          <w:szCs w:val="24"/>
        </w:rPr>
      </w:pPr>
      <w:r w:rsidRPr="0021761B">
        <w:rPr>
          <w:sz w:val="24"/>
          <w:szCs w:val="24"/>
        </w:rPr>
        <w:t xml:space="preserve">(See </w:t>
      </w:r>
      <w:hyperlink r:id="rId8" w:history="1">
        <w:r w:rsidRPr="0021761B">
          <w:rPr>
            <w:rStyle w:val="Hyperlink"/>
            <w:sz w:val="24"/>
            <w:szCs w:val="24"/>
          </w:rPr>
          <w:t>www.doctorconnect.gov.au</w:t>
        </w:r>
      </w:hyperlink>
      <w:r w:rsidRPr="0021761B">
        <w:rPr>
          <w:sz w:val="24"/>
          <w:szCs w:val="24"/>
        </w:rPr>
        <w:t xml:space="preserve"> for more information on the MMM).</w:t>
      </w:r>
    </w:p>
    <w:p w:rsidR="0058702C" w:rsidRPr="0021761B" w:rsidRDefault="0058702C" w:rsidP="00402125">
      <w:pPr>
        <w:pStyle w:val="AHBlueSubtitle"/>
      </w:pPr>
      <w:r w:rsidRPr="0021761B">
        <w:t xml:space="preserve">Tele-Health </w:t>
      </w:r>
    </w:p>
    <w:p w:rsidR="008F702B" w:rsidRPr="0021761B" w:rsidRDefault="008F702B" w:rsidP="00FF4E20">
      <w:pPr>
        <w:pStyle w:val="AHparagraph"/>
        <w:rPr>
          <w:szCs w:val="24"/>
        </w:rPr>
      </w:pPr>
      <w:r w:rsidRPr="0021761B">
        <w:rPr>
          <w:szCs w:val="24"/>
        </w:rPr>
        <w:t xml:space="preserve">The workforce survey asks Aboriginal and Torres Strait Islander Health Practitioners to report their hours practiced via tele-health in Aboriginal and Torres Strait Islander Health Practice in the previous year. </w:t>
      </w:r>
    </w:p>
    <w:p w:rsidR="008F702B" w:rsidRPr="0021761B" w:rsidRDefault="008F702B" w:rsidP="00FF4E20">
      <w:pPr>
        <w:pStyle w:val="AHnote"/>
        <w:rPr>
          <w:sz w:val="24"/>
          <w:szCs w:val="24"/>
        </w:rPr>
      </w:pPr>
      <w:r w:rsidRPr="0021761B">
        <w:rPr>
          <w:sz w:val="24"/>
          <w:szCs w:val="24"/>
        </w:rPr>
        <w:t>Note: Tele-health is the use of telecommunication techniques for the purpose of providing telemedicine, medical education, and health education over a distance.</w:t>
      </w:r>
      <w:r w:rsidR="00E3112F" w:rsidRPr="0021761B">
        <w:rPr>
          <w:sz w:val="24"/>
          <w:szCs w:val="24"/>
        </w:rPr>
        <w:t xml:space="preserve"> </w:t>
      </w:r>
    </w:p>
    <w:p w:rsidR="008F702B" w:rsidRPr="0021761B" w:rsidRDefault="008F702B" w:rsidP="00FF4E20">
      <w:pPr>
        <w:pStyle w:val="AHparagraph"/>
        <w:rPr>
          <w:szCs w:val="24"/>
        </w:rPr>
      </w:pPr>
      <w:r w:rsidRPr="0021761B">
        <w:rPr>
          <w:szCs w:val="24"/>
        </w:rPr>
        <w:t>In 2017, a total of 80 Aboriginal and Torres Strait Islander Health Practitioners (16.4%) provided a response to the Tele-Health question.</w:t>
      </w:r>
      <w:r w:rsidR="00E3112F" w:rsidRPr="0021761B">
        <w:rPr>
          <w:szCs w:val="24"/>
        </w:rPr>
        <w:t xml:space="preserve"> </w:t>
      </w:r>
      <w:r w:rsidRPr="0021761B">
        <w:rPr>
          <w:szCs w:val="24"/>
        </w:rPr>
        <w:t xml:space="preserve">On average, these respondents practiced via Tele-Health for 15.1 hours per week, with 48.8% of Tele-Health services provided by Aboriginal and Torres Strait Islander Health Practitioners in remote and very remote areas. </w:t>
      </w:r>
    </w:p>
    <w:p w:rsidR="00A27D27" w:rsidRPr="0021761B" w:rsidRDefault="00A27D27" w:rsidP="00402125">
      <w:pPr>
        <w:pStyle w:val="AHBlueSubtitle"/>
      </w:pPr>
      <w:r w:rsidRPr="0021761B">
        <w:t>References</w:t>
      </w:r>
    </w:p>
    <w:p w:rsidR="00714F6B" w:rsidRPr="0021761B" w:rsidRDefault="00714F6B" w:rsidP="00A1113D">
      <w:pPr>
        <w:pStyle w:val="AHReferences"/>
        <w:rPr>
          <w:sz w:val="24"/>
          <w:szCs w:val="24"/>
        </w:rPr>
      </w:pPr>
      <w:r w:rsidRPr="0021761B">
        <w:rPr>
          <w:sz w:val="24"/>
          <w:szCs w:val="24"/>
        </w:rPr>
        <w:t>National Health Workforce Dataset (NHWDS): Allied Health Practitioners 201</w:t>
      </w:r>
      <w:r w:rsidR="007D67DF" w:rsidRPr="0021761B">
        <w:rPr>
          <w:sz w:val="24"/>
          <w:szCs w:val="24"/>
        </w:rPr>
        <w:t>4</w:t>
      </w:r>
      <w:r w:rsidRPr="0021761B">
        <w:rPr>
          <w:sz w:val="24"/>
          <w:szCs w:val="24"/>
        </w:rPr>
        <w:t>-201</w:t>
      </w:r>
      <w:r w:rsidR="007D67DF" w:rsidRPr="0021761B">
        <w:rPr>
          <w:sz w:val="24"/>
          <w:szCs w:val="24"/>
        </w:rPr>
        <w:t>7</w:t>
      </w:r>
      <w:r w:rsidRPr="0021761B">
        <w:rPr>
          <w:sz w:val="24"/>
          <w:szCs w:val="24"/>
        </w:rPr>
        <w:t>.</w:t>
      </w:r>
    </w:p>
    <w:p w:rsidR="00A70629" w:rsidRPr="0021761B" w:rsidRDefault="00A70629" w:rsidP="00A1113D">
      <w:pPr>
        <w:pStyle w:val="AHReferences"/>
        <w:rPr>
          <w:sz w:val="24"/>
          <w:szCs w:val="24"/>
        </w:rPr>
      </w:pPr>
      <w:r w:rsidRPr="0021761B">
        <w:rPr>
          <w:sz w:val="24"/>
          <w:szCs w:val="24"/>
        </w:rPr>
        <w:t>ABS - 3238.0 – Estimates and Projections, Aboriginal and Torres Strait Islander Australians, 2001 to 2026</w:t>
      </w:r>
      <w:r w:rsidR="008B62A6" w:rsidRPr="0021761B">
        <w:rPr>
          <w:sz w:val="24"/>
          <w:szCs w:val="24"/>
        </w:rPr>
        <w:t xml:space="preserve"> (Series B)</w:t>
      </w:r>
      <w:r w:rsidRPr="0021761B">
        <w:rPr>
          <w:sz w:val="24"/>
          <w:szCs w:val="24"/>
        </w:rPr>
        <w:t>, Released 30/04/14.</w:t>
      </w:r>
    </w:p>
    <w:p w:rsidR="00233E57" w:rsidRPr="0021761B" w:rsidRDefault="00233E57" w:rsidP="00233E57">
      <w:pPr>
        <w:pStyle w:val="AHBlueSubtitle"/>
      </w:pPr>
      <w:r w:rsidRPr="0021761B">
        <w:lastRenderedPageBreak/>
        <w:t>Notes</w:t>
      </w:r>
    </w:p>
    <w:p w:rsidR="00233E57" w:rsidRPr="0021761B" w:rsidRDefault="00233E57" w:rsidP="00A1113D">
      <w:pPr>
        <w:pStyle w:val="AHReferences"/>
        <w:numPr>
          <w:ilvl w:val="0"/>
          <w:numId w:val="11"/>
        </w:numPr>
        <w:rPr>
          <w:b/>
          <w:bCs/>
          <w:sz w:val="24"/>
          <w:szCs w:val="24"/>
        </w:rPr>
      </w:pPr>
      <w:r w:rsidRPr="0021761B">
        <w:rPr>
          <w:sz w:val="24"/>
          <w:szCs w:val="24"/>
        </w:rPr>
        <w:t>‘NP’ denotes figures that are not published (supressed) for confidentiality reasons</w:t>
      </w:r>
    </w:p>
    <w:p w:rsidR="00233E57" w:rsidRPr="0021761B" w:rsidRDefault="0034032E" w:rsidP="00A1113D">
      <w:pPr>
        <w:pStyle w:val="AHReferences"/>
        <w:numPr>
          <w:ilvl w:val="0"/>
          <w:numId w:val="11"/>
        </w:numPr>
        <w:rPr>
          <w:sz w:val="24"/>
          <w:szCs w:val="24"/>
        </w:rPr>
      </w:pPr>
      <w:r w:rsidRPr="0021761B">
        <w:rPr>
          <w:sz w:val="24"/>
          <w:szCs w:val="24"/>
        </w:rPr>
        <w:t>The 2013-2016 NHWDS have been revised due to an error in recoding the missing values for job role. As such the figures may not match those that were previously published.</w:t>
      </w:r>
    </w:p>
    <w:p w:rsidR="00A9265A" w:rsidRPr="0021761B" w:rsidRDefault="00A9265A" w:rsidP="00A9265A">
      <w:pPr>
        <w:pStyle w:val="AHReferences"/>
        <w:numPr>
          <w:ilvl w:val="0"/>
          <w:numId w:val="11"/>
        </w:numPr>
        <w:rPr>
          <w:sz w:val="24"/>
          <w:szCs w:val="24"/>
        </w:rPr>
      </w:pPr>
      <w:r w:rsidRPr="0021761B">
        <w:rPr>
          <w:sz w:val="24"/>
          <w:szCs w:val="24"/>
        </w:rPr>
        <w:t>FTE number measures the number of standard-hour workloads worked by employed health practitioners. The FTE number provides a useful measure of supply because it takes into account both the number of practitioners who are working and the hours that they work.  FTE number is calculated based on the total hours worked in a 'standard working week'. The standard working week is assumed to be 38 hours, equivalent to 1 FTE for all practitioners with the exception of medical practitioners where it is assumed to be 40 hours.</w:t>
      </w:r>
    </w:p>
    <w:p w:rsidR="00F21ACB" w:rsidRPr="0021761B" w:rsidRDefault="00033741" w:rsidP="00402125">
      <w:pPr>
        <w:pStyle w:val="AHBlueSubtitle"/>
      </w:pPr>
      <w:r w:rsidRPr="0021761B">
        <w:br w:type="column"/>
      </w:r>
      <w:r w:rsidR="00211944" w:rsidRPr="0021761B">
        <w:lastRenderedPageBreak/>
        <w:t>Commonwealth of Australia 201</w:t>
      </w:r>
      <w:r w:rsidR="00FF4E20" w:rsidRPr="0021761B">
        <w:t>9</w:t>
      </w:r>
    </w:p>
    <w:p w:rsidR="00211944" w:rsidRPr="0021761B" w:rsidRDefault="00211944" w:rsidP="00FF4E20">
      <w:pPr>
        <w:pStyle w:val="AHparagraph"/>
        <w:rPr>
          <w:szCs w:val="24"/>
        </w:rPr>
      </w:pPr>
      <w:r w:rsidRPr="0021761B">
        <w:rPr>
          <w:szCs w:val="24"/>
        </w:rPr>
        <w:t>This work is copyright. You may download, display, print and reproduce the whole or part of this work in unaltered form for your own personal use or, if you are part of an organisation, for internal use within your organisation, but only if you or your organisation do not use the reproduction for any commercial purpose and retain this copyright notice and all disclaimer notice</w:t>
      </w:r>
      <w:r w:rsidR="00402125" w:rsidRPr="0021761B">
        <w:rPr>
          <w:szCs w:val="24"/>
        </w:rPr>
        <w:t xml:space="preserve">s as part of that reproduction. </w:t>
      </w:r>
      <w:r w:rsidRPr="0021761B">
        <w:rPr>
          <w:szCs w:val="24"/>
        </w:rPr>
        <w:t xml:space="preserve">Apart from rights to use as permitted by the Copyright Act 1968 or allowed by this copyright notice, all other rights are reserved and you are not allowed to reproduce the whole or any part of this work in any way (electronic or otherwise) without first being given the specific written permission from the Commonwealth to do so. Requests and inquiries concerning reproduction and rights are to be sent to the Communication Branch, Department of Health, GPO Box 9848, Canberra ACT 2601, or via e-mail to </w:t>
      </w:r>
      <w:hyperlink r:id="rId9" w:history="1">
        <w:r w:rsidRPr="0021761B">
          <w:rPr>
            <w:rStyle w:val="Hyperlink"/>
            <w:szCs w:val="24"/>
          </w:rPr>
          <w:t>copyright@health.gov.au</w:t>
        </w:r>
      </w:hyperlink>
      <w:r w:rsidRPr="0021761B">
        <w:rPr>
          <w:szCs w:val="24"/>
        </w:rPr>
        <w:t>.</w:t>
      </w:r>
    </w:p>
    <w:p w:rsidR="00211944" w:rsidRPr="0021761B" w:rsidRDefault="00211944" w:rsidP="00FF4E20">
      <w:pPr>
        <w:pStyle w:val="AHparagraph"/>
        <w:jc w:val="left"/>
        <w:rPr>
          <w:w w:val="99"/>
          <w:szCs w:val="24"/>
        </w:rPr>
      </w:pPr>
      <w:r w:rsidRPr="0021761B">
        <w:rPr>
          <w:szCs w:val="24"/>
        </w:rPr>
        <w:t>Enquiries</w:t>
      </w:r>
      <w:r w:rsidRPr="0021761B">
        <w:rPr>
          <w:spacing w:val="-1"/>
          <w:szCs w:val="24"/>
        </w:rPr>
        <w:t xml:space="preserve"> </w:t>
      </w:r>
      <w:r w:rsidRPr="0021761B">
        <w:rPr>
          <w:szCs w:val="24"/>
        </w:rPr>
        <w:t>concerning</w:t>
      </w:r>
      <w:r w:rsidRPr="0021761B">
        <w:rPr>
          <w:spacing w:val="-1"/>
          <w:szCs w:val="24"/>
        </w:rPr>
        <w:t xml:space="preserve"> </w:t>
      </w:r>
      <w:r w:rsidRPr="0021761B">
        <w:rPr>
          <w:szCs w:val="24"/>
        </w:rPr>
        <w:t>this</w:t>
      </w:r>
      <w:r w:rsidRPr="0021761B">
        <w:rPr>
          <w:spacing w:val="-1"/>
          <w:szCs w:val="24"/>
        </w:rPr>
        <w:t xml:space="preserve"> </w:t>
      </w:r>
      <w:r w:rsidRPr="0021761B">
        <w:rPr>
          <w:szCs w:val="24"/>
        </w:rPr>
        <w:t>report</w:t>
      </w:r>
      <w:r w:rsidRPr="0021761B">
        <w:rPr>
          <w:spacing w:val="-1"/>
          <w:szCs w:val="24"/>
        </w:rPr>
        <w:t xml:space="preserve"> </w:t>
      </w:r>
      <w:r w:rsidRPr="0021761B">
        <w:rPr>
          <w:szCs w:val="24"/>
        </w:rPr>
        <w:t>and</w:t>
      </w:r>
      <w:r w:rsidRPr="0021761B">
        <w:rPr>
          <w:spacing w:val="-1"/>
          <w:szCs w:val="24"/>
        </w:rPr>
        <w:t xml:space="preserve"> </w:t>
      </w:r>
      <w:r w:rsidRPr="0021761B">
        <w:rPr>
          <w:szCs w:val="24"/>
        </w:rPr>
        <w:t>its reproduction</w:t>
      </w:r>
      <w:r w:rsidRPr="0021761B">
        <w:rPr>
          <w:spacing w:val="-1"/>
          <w:szCs w:val="24"/>
        </w:rPr>
        <w:t xml:space="preserve"> </w:t>
      </w:r>
      <w:r w:rsidRPr="0021761B">
        <w:rPr>
          <w:szCs w:val="24"/>
        </w:rPr>
        <w:t>should</w:t>
      </w:r>
      <w:r w:rsidRPr="0021761B">
        <w:rPr>
          <w:spacing w:val="-1"/>
          <w:szCs w:val="24"/>
        </w:rPr>
        <w:t xml:space="preserve"> </w:t>
      </w:r>
      <w:r w:rsidRPr="0021761B">
        <w:rPr>
          <w:szCs w:val="24"/>
        </w:rPr>
        <w:t>be</w:t>
      </w:r>
      <w:r w:rsidRPr="0021761B">
        <w:rPr>
          <w:spacing w:val="-1"/>
          <w:szCs w:val="24"/>
        </w:rPr>
        <w:t xml:space="preserve"> </w:t>
      </w:r>
      <w:r w:rsidRPr="0021761B">
        <w:rPr>
          <w:szCs w:val="24"/>
        </w:rPr>
        <w:t>directed</w:t>
      </w:r>
      <w:r w:rsidRPr="0021761B">
        <w:rPr>
          <w:spacing w:val="-1"/>
          <w:szCs w:val="24"/>
        </w:rPr>
        <w:t xml:space="preserve"> </w:t>
      </w:r>
      <w:r w:rsidRPr="0021761B">
        <w:rPr>
          <w:szCs w:val="24"/>
        </w:rPr>
        <w:t>to:</w:t>
      </w:r>
      <w:r w:rsidRPr="0021761B">
        <w:rPr>
          <w:w w:val="99"/>
          <w:szCs w:val="24"/>
        </w:rPr>
        <w:t xml:space="preserve"> </w:t>
      </w:r>
    </w:p>
    <w:p w:rsidR="00211944" w:rsidRPr="0021761B" w:rsidRDefault="00211944" w:rsidP="00402125">
      <w:pPr>
        <w:pStyle w:val="AHparagraph"/>
        <w:rPr>
          <w:szCs w:val="24"/>
        </w:rPr>
      </w:pPr>
      <w:r w:rsidRPr="0021761B">
        <w:rPr>
          <w:szCs w:val="24"/>
        </w:rPr>
        <w:t>Department</w:t>
      </w:r>
      <w:r w:rsidRPr="0021761B">
        <w:rPr>
          <w:spacing w:val="-2"/>
          <w:szCs w:val="24"/>
        </w:rPr>
        <w:t xml:space="preserve"> </w:t>
      </w:r>
      <w:r w:rsidRPr="0021761B">
        <w:rPr>
          <w:szCs w:val="24"/>
        </w:rPr>
        <w:t>of</w:t>
      </w:r>
      <w:r w:rsidRPr="0021761B">
        <w:rPr>
          <w:spacing w:val="-1"/>
          <w:szCs w:val="24"/>
        </w:rPr>
        <w:t xml:space="preserve"> </w:t>
      </w:r>
      <w:r w:rsidRPr="0021761B">
        <w:rPr>
          <w:szCs w:val="24"/>
        </w:rPr>
        <w:t>Health</w:t>
      </w:r>
    </w:p>
    <w:p w:rsidR="00211944" w:rsidRPr="0021761B" w:rsidRDefault="00211944" w:rsidP="00FF4E20">
      <w:pPr>
        <w:pStyle w:val="AHparagraph"/>
        <w:spacing w:before="0"/>
        <w:rPr>
          <w:szCs w:val="24"/>
        </w:rPr>
      </w:pPr>
      <w:r w:rsidRPr="0021761B">
        <w:rPr>
          <w:szCs w:val="24"/>
        </w:rPr>
        <w:t>GPO</w:t>
      </w:r>
      <w:r w:rsidRPr="0021761B">
        <w:rPr>
          <w:spacing w:val="-3"/>
          <w:szCs w:val="24"/>
        </w:rPr>
        <w:t xml:space="preserve"> </w:t>
      </w:r>
      <w:r w:rsidRPr="0021761B">
        <w:rPr>
          <w:szCs w:val="24"/>
        </w:rPr>
        <w:t>Box</w:t>
      </w:r>
      <w:r w:rsidRPr="0021761B">
        <w:rPr>
          <w:spacing w:val="-3"/>
          <w:szCs w:val="24"/>
        </w:rPr>
        <w:t xml:space="preserve"> </w:t>
      </w:r>
      <w:r w:rsidRPr="0021761B">
        <w:rPr>
          <w:szCs w:val="24"/>
        </w:rPr>
        <w:t>9848</w:t>
      </w:r>
    </w:p>
    <w:p w:rsidR="00211944" w:rsidRPr="0021761B" w:rsidRDefault="00211944" w:rsidP="00FF4E20">
      <w:pPr>
        <w:pStyle w:val="BodyText"/>
        <w:widowControl w:val="0"/>
        <w:spacing w:before="0" w:after="0"/>
        <w:rPr>
          <w:szCs w:val="24"/>
        </w:rPr>
      </w:pPr>
      <w:r w:rsidRPr="0021761B">
        <w:rPr>
          <w:szCs w:val="24"/>
        </w:rPr>
        <w:t>Canb</w:t>
      </w:r>
      <w:r w:rsidRPr="0021761B">
        <w:rPr>
          <w:rStyle w:val="AHparagraphChar"/>
          <w:szCs w:val="24"/>
        </w:rPr>
        <w:t>e</w:t>
      </w:r>
      <w:r w:rsidRPr="0021761B">
        <w:rPr>
          <w:szCs w:val="24"/>
        </w:rPr>
        <w:t>rra</w:t>
      </w:r>
      <w:r w:rsidRPr="0021761B">
        <w:rPr>
          <w:spacing w:val="-1"/>
          <w:szCs w:val="24"/>
        </w:rPr>
        <w:t xml:space="preserve"> </w:t>
      </w:r>
      <w:r w:rsidRPr="0021761B">
        <w:rPr>
          <w:szCs w:val="24"/>
        </w:rPr>
        <w:t>ACT</w:t>
      </w:r>
      <w:r w:rsidRPr="0021761B">
        <w:rPr>
          <w:spacing w:val="-1"/>
          <w:szCs w:val="24"/>
        </w:rPr>
        <w:t xml:space="preserve"> </w:t>
      </w:r>
      <w:r w:rsidRPr="0021761B">
        <w:rPr>
          <w:szCs w:val="24"/>
        </w:rPr>
        <w:t>2601</w:t>
      </w:r>
    </w:p>
    <w:p w:rsidR="00211944" w:rsidRPr="0021761B" w:rsidRDefault="0021761B" w:rsidP="00211944">
      <w:pPr>
        <w:pStyle w:val="BodyText"/>
        <w:widowControl w:val="0"/>
        <w:spacing w:after="0"/>
        <w:rPr>
          <w:szCs w:val="24"/>
        </w:rPr>
      </w:pPr>
      <w:hyperlink r:id="rId10" w:history="1">
        <w:r w:rsidR="00211944" w:rsidRPr="0021761B">
          <w:rPr>
            <w:rStyle w:val="Hyperlink"/>
            <w:szCs w:val="24"/>
          </w:rPr>
          <w:t>healthworkforcedata@health.gov.au</w:t>
        </w:r>
      </w:hyperlink>
    </w:p>
    <w:p w:rsidR="00BA4B88" w:rsidRPr="0021761B" w:rsidRDefault="00BA4B88" w:rsidP="00BA4B88">
      <w:pPr>
        <w:spacing w:after="60"/>
        <w:rPr>
          <w:color w:val="31849B" w:themeColor="accent5" w:themeShade="BF"/>
          <w:szCs w:val="24"/>
        </w:rPr>
      </w:pPr>
    </w:p>
    <w:sectPr w:rsidR="00BA4B88" w:rsidRPr="0021761B" w:rsidSect="0021761B">
      <w:headerReference w:type="default" r:id="rId11"/>
      <w:footerReference w:type="default" r:id="rId12"/>
      <w:headerReference w:type="first" r:id="rId13"/>
      <w:footerReference w:type="first" r:id="rId14"/>
      <w:pgSz w:w="11906" w:h="16838" w:code="9"/>
      <w:pgMar w:top="720" w:right="720" w:bottom="284" w:left="720" w:header="284" w:footer="249"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24A9" w:rsidRDefault="00E324A9" w:rsidP="009F6FF4">
      <w:r>
        <w:separator/>
      </w:r>
    </w:p>
  </w:endnote>
  <w:endnote w:type="continuationSeparator" w:id="0">
    <w:p w:rsidR="00E324A9" w:rsidRDefault="00E324A9"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24A9" w:rsidRPr="00592960" w:rsidRDefault="00E324A9" w:rsidP="000055EC">
    <w:pPr>
      <w:widowControl w:val="0"/>
      <w:tabs>
        <w:tab w:val="left" w:pos="142"/>
        <w:tab w:val="left" w:pos="5940"/>
        <w:tab w:val="left" w:pos="7513"/>
      </w:tabs>
      <w:rPr>
        <w:sz w:val="18"/>
        <w:szCs w:val="18"/>
      </w:rPr>
    </w:pPr>
    <w:r w:rsidRPr="00592960">
      <w:rPr>
        <w:sz w:val="18"/>
        <w:szCs w:val="18"/>
      </w:rPr>
      <w:t xml:space="preserve">Contact: </w:t>
    </w:r>
    <w:hyperlink r:id="rId1" w:history="1">
      <w:r w:rsidRPr="00592960">
        <w:rPr>
          <w:rStyle w:val="Hyperlink"/>
          <w:color w:val="auto"/>
          <w:sz w:val="18"/>
          <w:szCs w:val="18"/>
          <w:u w:val="none"/>
        </w:rPr>
        <w:t>healthworkforcedata@health.gov.au</w:t>
      </w:r>
    </w:hyperlink>
    <w:r w:rsidRPr="00592960">
      <w:rPr>
        <w:sz w:val="18"/>
        <w:szCs w:val="18"/>
      </w:rPr>
      <w:tab/>
      <w:t xml:space="preserve">NHWDS Data Tool and Resources: </w:t>
    </w:r>
    <w:hyperlink r:id="rId2" w:history="1">
      <w:r w:rsidRPr="00592960">
        <w:rPr>
          <w:rStyle w:val="Hyperlink"/>
          <w:sz w:val="18"/>
          <w:szCs w:val="18"/>
        </w:rPr>
        <w:t>http://hwd.health.gov.au</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24A9" w:rsidRPr="00592960" w:rsidRDefault="00E324A9" w:rsidP="000055EC">
    <w:pPr>
      <w:widowControl w:val="0"/>
      <w:tabs>
        <w:tab w:val="left" w:pos="142"/>
        <w:tab w:val="left" w:pos="5940"/>
        <w:tab w:val="left" w:pos="7513"/>
      </w:tabs>
      <w:rPr>
        <w:sz w:val="18"/>
        <w:szCs w:val="18"/>
      </w:rPr>
    </w:pPr>
    <w:r w:rsidRPr="00592960">
      <w:rPr>
        <w:sz w:val="18"/>
        <w:szCs w:val="18"/>
      </w:rPr>
      <w:t xml:space="preserve">Contact: </w:t>
    </w:r>
    <w:hyperlink r:id="rId1" w:history="1">
      <w:r w:rsidRPr="00592960">
        <w:rPr>
          <w:rStyle w:val="Hyperlink"/>
          <w:color w:val="auto"/>
          <w:sz w:val="18"/>
          <w:szCs w:val="18"/>
          <w:u w:val="none"/>
        </w:rPr>
        <w:t>healthworkforcedata@health.gov.au</w:t>
      </w:r>
    </w:hyperlink>
    <w:r w:rsidR="00E30A37">
      <w:rPr>
        <w:sz w:val="18"/>
        <w:szCs w:val="18"/>
      </w:rPr>
      <w:tab/>
    </w:r>
    <w:r w:rsidRPr="00592960">
      <w:rPr>
        <w:sz w:val="18"/>
        <w:szCs w:val="18"/>
      </w:rPr>
      <w:t xml:space="preserve">NHWDS Data Tool and Resources: </w:t>
    </w:r>
    <w:hyperlink r:id="rId2" w:history="1">
      <w:r w:rsidRPr="00592960">
        <w:rPr>
          <w:rStyle w:val="Hyperlink"/>
          <w:sz w:val="18"/>
          <w:szCs w:val="18"/>
        </w:rPr>
        <w:t>http://hwd.health.gov.au</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24A9" w:rsidRDefault="00E324A9" w:rsidP="009F6FF4">
      <w:r>
        <w:separator/>
      </w:r>
    </w:p>
  </w:footnote>
  <w:footnote w:type="continuationSeparator" w:id="0">
    <w:p w:rsidR="00E324A9" w:rsidRDefault="00E324A9" w:rsidP="009F6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24A9" w:rsidRDefault="00180DF7" w:rsidP="00180DF7">
    <w:pPr>
      <w:pStyle w:val="Header"/>
    </w:pPr>
    <w:r>
      <w:rPr>
        <w:noProof/>
        <w:lang w:eastAsia="en-AU"/>
      </w:rPr>
      <w:drawing>
        <wp:inline distT="0" distB="0" distL="0" distR="0" wp14:anchorId="3AF070F4" wp14:editId="352A02E1">
          <wp:extent cx="6629400" cy="104775"/>
          <wp:effectExtent l="0" t="0" r="0" b="9525"/>
          <wp:docPr id="2" name="Picture 2"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09319" cy="109199"/>
                  </a:xfrm>
                  <a:prstGeom prst="rect">
                    <a:avLst/>
                  </a:prstGeom>
                  <a:noFill/>
                  <a:ln>
                    <a:noFill/>
                  </a:ln>
                  <a:effectLst/>
                </pic:spPr>
              </pic:pic>
            </a:graphicData>
          </a:graphic>
        </wp:inline>
      </w:drawing>
    </w:r>
  </w:p>
  <w:p w:rsidR="00FF4E20" w:rsidRPr="00FF4E20" w:rsidRDefault="00FF4E20" w:rsidP="00180DF7">
    <w:pPr>
      <w:pStyle w:val="Header"/>
      <w:rPr>
        <w:sz w:val="8"/>
        <w:szCs w:val="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5813" w:rsidRDefault="00180DF7" w:rsidP="00CA5813">
    <w:pPr>
      <w:pStyle w:val="Header"/>
    </w:pPr>
    <w:r>
      <w:rPr>
        <w:noProof/>
        <w:lang w:eastAsia="en-AU"/>
      </w:rPr>
      <w:drawing>
        <wp:inline distT="0" distB="0" distL="0" distR="0" wp14:anchorId="27BD3B18" wp14:editId="2190DAE4">
          <wp:extent cx="6648450" cy="104775"/>
          <wp:effectExtent l="0" t="0" r="0" b="9525"/>
          <wp:docPr id="4" name="Picture 4"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29173" cy="109199"/>
                  </a:xfrm>
                  <a:prstGeom prst="rect">
                    <a:avLst/>
                  </a:prstGeom>
                  <a:noFill/>
                  <a:ln>
                    <a:noFill/>
                  </a:ln>
                  <a:effectLst/>
                </pic:spPr>
              </pic:pic>
            </a:graphicData>
          </a:graphic>
        </wp:inline>
      </w:drawing>
    </w:r>
  </w:p>
  <w:p w:rsidR="00CA5813" w:rsidRPr="006A1713" w:rsidRDefault="00180DF7" w:rsidP="009C073B">
    <w:pPr>
      <w:pStyle w:val="AHDocTitle"/>
      <w:ind w:right="118"/>
      <w:jc w:val="left"/>
      <w:rPr>
        <w:sz w:val="62"/>
        <w:szCs w:val="62"/>
      </w:rPr>
    </w:pPr>
    <w:r w:rsidRPr="006A1713">
      <w:rPr>
        <w:rStyle w:val="Heading1Char"/>
        <w:noProof/>
        <w:sz w:val="62"/>
        <w:szCs w:val="62"/>
        <w:lang w:eastAsia="en-AU"/>
      </w:rPr>
      <w:drawing>
        <wp:anchor distT="0" distB="0" distL="114300" distR="114300" simplePos="0" relativeHeight="251659264" behindDoc="0" locked="0" layoutInCell="1" allowOverlap="1" wp14:anchorId="495B850C" wp14:editId="570BF014">
          <wp:simplePos x="0" y="0"/>
          <wp:positionH relativeFrom="column">
            <wp:posOffset>4610166</wp:posOffset>
          </wp:positionH>
          <wp:positionV relativeFrom="paragraph">
            <wp:posOffset>46603</wp:posOffset>
          </wp:positionV>
          <wp:extent cx="2002155" cy="434975"/>
          <wp:effectExtent l="0" t="0" r="0" b="3175"/>
          <wp:wrapNone/>
          <wp:docPr id="5" name="Picture 4" title="Australian Government - Department of 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title="Australian Government - Department of Health logo"/>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02155" cy="434975"/>
                  </a:xfrm>
                  <a:prstGeom prst="rect">
                    <a:avLst/>
                  </a:prstGeom>
                </pic:spPr>
              </pic:pic>
            </a:graphicData>
          </a:graphic>
        </wp:anchor>
      </w:drawing>
    </w:r>
    <w:r w:rsidR="009C073B" w:rsidRPr="006A1713">
      <w:rPr>
        <w:rStyle w:val="Emphasis"/>
      </w:rPr>
      <w:t>Aboriginal and Torres</w:t>
    </w:r>
    <w:r w:rsidR="009C073B" w:rsidRPr="006A1713">
      <w:rPr>
        <w:rStyle w:val="Emphasis"/>
      </w:rPr>
      <w:br/>
    </w:r>
    <w:r w:rsidRPr="006A1713">
      <w:rPr>
        <w:rStyle w:val="Emphasis"/>
      </w:rPr>
      <w:t>Strait</w:t>
    </w:r>
    <w:r w:rsidR="00DE425C" w:rsidRPr="006A1713">
      <w:rPr>
        <w:rStyle w:val="Emphasis"/>
      </w:rPr>
      <w:t xml:space="preserve"> </w:t>
    </w:r>
    <w:r w:rsidR="00095C42" w:rsidRPr="006A1713">
      <w:rPr>
        <w:rStyle w:val="Emphasis"/>
      </w:rPr>
      <w:t xml:space="preserve">Islander Health </w:t>
    </w:r>
    <w:r w:rsidR="009C073B" w:rsidRPr="006A1713">
      <w:rPr>
        <w:rStyle w:val="Emphasis"/>
      </w:rPr>
      <w:t>P</w:t>
    </w:r>
    <w:r w:rsidR="00095C42" w:rsidRPr="006A1713">
      <w:rPr>
        <w:rStyle w:val="Emphasis"/>
      </w:rPr>
      <w:t>ractitioners</w:t>
    </w:r>
  </w:p>
  <w:p w:rsidR="00E324A9" w:rsidRPr="00180DF7" w:rsidRDefault="00CA5813" w:rsidP="00180DF7">
    <w:pPr>
      <w:pStyle w:val="AHBlueSubtitle"/>
      <w:rPr>
        <w:rStyle w:val="Emphasis"/>
        <w:b/>
        <w:sz w:val="24"/>
        <w:szCs w:val="24"/>
        <w14:textOutline w14:w="0" w14:cap="rnd" w14:cmpd="sng" w14:algn="ctr">
          <w14:noFill/>
          <w14:prstDash w14:val="solid"/>
          <w14:bevel/>
        </w14:textOutline>
      </w:rPr>
    </w:pPr>
    <w:r w:rsidRPr="00180DF7">
      <w:rPr>
        <w:rStyle w:val="Emphasis"/>
        <w:b/>
        <w:sz w:val="24"/>
        <w:szCs w:val="24"/>
        <w14:textOutline w14:w="0" w14:cap="rnd" w14:cmpd="sng" w14:algn="ctr">
          <w14:noFill/>
          <w14:prstDash w14:val="solid"/>
          <w14:bevel/>
        </w14:textOutline>
      </w:rPr>
      <w:t>2017 Factsheet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02F33"/>
    <w:multiLevelType w:val="hybridMultilevel"/>
    <w:tmpl w:val="020E49B2"/>
    <w:lvl w:ilvl="0" w:tplc="0C09000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2" w15:restartNumberingAfterBreak="0">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6B6E3B05"/>
    <w:multiLevelType w:val="hybridMultilevel"/>
    <w:tmpl w:val="CEC4C8DE"/>
    <w:lvl w:ilvl="0" w:tplc="81762890">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15:restartNumberingAfterBreak="0">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783A2CC2"/>
    <w:multiLevelType w:val="hybridMultilevel"/>
    <w:tmpl w:val="9A7633DC"/>
    <w:lvl w:ilvl="0" w:tplc="ED0ED30C">
      <w:start w:val="1"/>
      <w:numFmt w:val="decimal"/>
      <w:pStyle w:val="AHReferences"/>
      <w:lvlText w:val="%1)"/>
      <w:lvlJc w:val="left"/>
      <w:pPr>
        <w:ind w:left="360" w:hanging="360"/>
      </w:pPr>
      <w:rPr>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4"/>
  </w:num>
  <w:num w:numId="2">
    <w:abstractNumId w:val="1"/>
  </w:num>
  <w:num w:numId="3">
    <w:abstractNumId w:val="5"/>
  </w:num>
  <w:num w:numId="4">
    <w:abstractNumId w:val="2"/>
  </w:num>
  <w:num w:numId="5">
    <w:abstractNumId w:val="5"/>
  </w:num>
  <w:num w:numId="6">
    <w:abstractNumId w:val="5"/>
  </w:num>
  <w:num w:numId="7">
    <w:abstractNumId w:val="5"/>
  </w:num>
  <w:num w:numId="8">
    <w:abstractNumId w:val="5"/>
  </w:num>
  <w:num w:numId="9">
    <w:abstractNumId w:val="5"/>
  </w:num>
  <w:num w:numId="10">
    <w:abstractNumId w:val="5"/>
  </w:num>
  <w:num w:numId="11">
    <w:abstractNumId w:val="5"/>
    <w:lvlOverride w:ilvl="0">
      <w:startOverride w:val="1"/>
    </w:lvlOverride>
  </w:num>
  <w:num w:numId="12">
    <w:abstractNumId w:val="5"/>
  </w:num>
  <w:num w:numId="13">
    <w:abstractNumId w:val="0"/>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925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1145"/>
    <w:rsid w:val="000025C0"/>
    <w:rsid w:val="000032AB"/>
    <w:rsid w:val="00003743"/>
    <w:rsid w:val="000055EC"/>
    <w:rsid w:val="000058A0"/>
    <w:rsid w:val="00005F31"/>
    <w:rsid w:val="00012B5B"/>
    <w:rsid w:val="00012EF3"/>
    <w:rsid w:val="00013370"/>
    <w:rsid w:val="00013FAD"/>
    <w:rsid w:val="000202E6"/>
    <w:rsid w:val="00020D17"/>
    <w:rsid w:val="00022193"/>
    <w:rsid w:val="000222D5"/>
    <w:rsid w:val="00023B51"/>
    <w:rsid w:val="00024973"/>
    <w:rsid w:val="00027294"/>
    <w:rsid w:val="000302B3"/>
    <w:rsid w:val="000332B7"/>
    <w:rsid w:val="00033741"/>
    <w:rsid w:val="00047330"/>
    <w:rsid w:val="00047EEE"/>
    <w:rsid w:val="00050D6F"/>
    <w:rsid w:val="00053FA6"/>
    <w:rsid w:val="00060B92"/>
    <w:rsid w:val="000618F3"/>
    <w:rsid w:val="00063ADA"/>
    <w:rsid w:val="000649C8"/>
    <w:rsid w:val="00067456"/>
    <w:rsid w:val="0007464F"/>
    <w:rsid w:val="00075B84"/>
    <w:rsid w:val="00075F3F"/>
    <w:rsid w:val="00076D65"/>
    <w:rsid w:val="0008043A"/>
    <w:rsid w:val="00080D2C"/>
    <w:rsid w:val="00083078"/>
    <w:rsid w:val="000830CE"/>
    <w:rsid w:val="00085417"/>
    <w:rsid w:val="0008563D"/>
    <w:rsid w:val="00087DF7"/>
    <w:rsid w:val="00095C42"/>
    <w:rsid w:val="00095F4F"/>
    <w:rsid w:val="00097B77"/>
    <w:rsid w:val="000A0FFE"/>
    <w:rsid w:val="000A1A4E"/>
    <w:rsid w:val="000A3551"/>
    <w:rsid w:val="000A35CA"/>
    <w:rsid w:val="000A6E8D"/>
    <w:rsid w:val="000A702E"/>
    <w:rsid w:val="000B0E76"/>
    <w:rsid w:val="000B2E79"/>
    <w:rsid w:val="000B7A97"/>
    <w:rsid w:val="000B7F5A"/>
    <w:rsid w:val="000C269D"/>
    <w:rsid w:val="000C3451"/>
    <w:rsid w:val="000C3664"/>
    <w:rsid w:val="000C63CD"/>
    <w:rsid w:val="000D0DDB"/>
    <w:rsid w:val="000D17F0"/>
    <w:rsid w:val="000D31E8"/>
    <w:rsid w:val="000D7DB3"/>
    <w:rsid w:val="000E09C4"/>
    <w:rsid w:val="000E0D23"/>
    <w:rsid w:val="000E269A"/>
    <w:rsid w:val="000F0C71"/>
    <w:rsid w:val="000F2C24"/>
    <w:rsid w:val="000F69B1"/>
    <w:rsid w:val="000F76D8"/>
    <w:rsid w:val="001008FC"/>
    <w:rsid w:val="0010170B"/>
    <w:rsid w:val="00102ED7"/>
    <w:rsid w:val="00105131"/>
    <w:rsid w:val="00112C9D"/>
    <w:rsid w:val="00114A15"/>
    <w:rsid w:val="0011694A"/>
    <w:rsid w:val="00117DA9"/>
    <w:rsid w:val="00120212"/>
    <w:rsid w:val="001264BF"/>
    <w:rsid w:val="001273C0"/>
    <w:rsid w:val="001277A0"/>
    <w:rsid w:val="0013049B"/>
    <w:rsid w:val="0013533D"/>
    <w:rsid w:val="00136CFF"/>
    <w:rsid w:val="00142A81"/>
    <w:rsid w:val="00143516"/>
    <w:rsid w:val="001446DB"/>
    <w:rsid w:val="00146C18"/>
    <w:rsid w:val="00147F7B"/>
    <w:rsid w:val="00150754"/>
    <w:rsid w:val="00153683"/>
    <w:rsid w:val="001545D9"/>
    <w:rsid w:val="0015577D"/>
    <w:rsid w:val="00162F50"/>
    <w:rsid w:val="0016487D"/>
    <w:rsid w:val="00166C68"/>
    <w:rsid w:val="00166F30"/>
    <w:rsid w:val="00170AAA"/>
    <w:rsid w:val="00170AD7"/>
    <w:rsid w:val="00171953"/>
    <w:rsid w:val="00175A82"/>
    <w:rsid w:val="001800E7"/>
    <w:rsid w:val="00180394"/>
    <w:rsid w:val="0018067E"/>
    <w:rsid w:val="00180DF7"/>
    <w:rsid w:val="0018360D"/>
    <w:rsid w:val="00185851"/>
    <w:rsid w:val="001874ED"/>
    <w:rsid w:val="0019117E"/>
    <w:rsid w:val="00193250"/>
    <w:rsid w:val="00193C76"/>
    <w:rsid w:val="001A1409"/>
    <w:rsid w:val="001A14AC"/>
    <w:rsid w:val="001A3DC4"/>
    <w:rsid w:val="001A6A99"/>
    <w:rsid w:val="001A7AE3"/>
    <w:rsid w:val="001B125B"/>
    <w:rsid w:val="001B1511"/>
    <w:rsid w:val="001B3443"/>
    <w:rsid w:val="001B4634"/>
    <w:rsid w:val="001B6258"/>
    <w:rsid w:val="001B67BF"/>
    <w:rsid w:val="001C0732"/>
    <w:rsid w:val="001D063B"/>
    <w:rsid w:val="001D7D96"/>
    <w:rsid w:val="001E1FA7"/>
    <w:rsid w:val="001E2E6A"/>
    <w:rsid w:val="001E3A06"/>
    <w:rsid w:val="001F4B7C"/>
    <w:rsid w:val="001F66F5"/>
    <w:rsid w:val="002042FA"/>
    <w:rsid w:val="00205EC4"/>
    <w:rsid w:val="0020691C"/>
    <w:rsid w:val="002108B6"/>
    <w:rsid w:val="0021117A"/>
    <w:rsid w:val="00211944"/>
    <w:rsid w:val="00211EFC"/>
    <w:rsid w:val="002136A6"/>
    <w:rsid w:val="0021378A"/>
    <w:rsid w:val="002155E8"/>
    <w:rsid w:val="002163B3"/>
    <w:rsid w:val="0021761B"/>
    <w:rsid w:val="00221BBD"/>
    <w:rsid w:val="00225835"/>
    <w:rsid w:val="00225F68"/>
    <w:rsid w:val="00226725"/>
    <w:rsid w:val="00231DBD"/>
    <w:rsid w:val="00232036"/>
    <w:rsid w:val="00233E57"/>
    <w:rsid w:val="00236282"/>
    <w:rsid w:val="00236E58"/>
    <w:rsid w:val="00245D5F"/>
    <w:rsid w:val="002468F8"/>
    <w:rsid w:val="00247140"/>
    <w:rsid w:val="0025026B"/>
    <w:rsid w:val="00252718"/>
    <w:rsid w:val="00252D22"/>
    <w:rsid w:val="00253673"/>
    <w:rsid w:val="0025594E"/>
    <w:rsid w:val="002574DF"/>
    <w:rsid w:val="0026217D"/>
    <w:rsid w:val="002632E3"/>
    <w:rsid w:val="00263451"/>
    <w:rsid w:val="002673E2"/>
    <w:rsid w:val="00270A8B"/>
    <w:rsid w:val="00272C9B"/>
    <w:rsid w:val="00274E3C"/>
    <w:rsid w:val="0027540C"/>
    <w:rsid w:val="00275AAA"/>
    <w:rsid w:val="002773B1"/>
    <w:rsid w:val="002808E0"/>
    <w:rsid w:val="00281CE2"/>
    <w:rsid w:val="0028418D"/>
    <w:rsid w:val="00286062"/>
    <w:rsid w:val="002861CD"/>
    <w:rsid w:val="0028639D"/>
    <w:rsid w:val="0028784B"/>
    <w:rsid w:val="00290974"/>
    <w:rsid w:val="00290B30"/>
    <w:rsid w:val="00290C1B"/>
    <w:rsid w:val="00291735"/>
    <w:rsid w:val="00291B5B"/>
    <w:rsid w:val="00291EC5"/>
    <w:rsid w:val="0029614C"/>
    <w:rsid w:val="0029671B"/>
    <w:rsid w:val="00296C2E"/>
    <w:rsid w:val="002A0B58"/>
    <w:rsid w:val="002A0CA5"/>
    <w:rsid w:val="002A1B96"/>
    <w:rsid w:val="002A53F1"/>
    <w:rsid w:val="002A6090"/>
    <w:rsid w:val="002A6E4C"/>
    <w:rsid w:val="002B00B5"/>
    <w:rsid w:val="002B0D70"/>
    <w:rsid w:val="002B2CEF"/>
    <w:rsid w:val="002B605A"/>
    <w:rsid w:val="002B69B4"/>
    <w:rsid w:val="002B7B2B"/>
    <w:rsid w:val="002C1BB5"/>
    <w:rsid w:val="002C21F2"/>
    <w:rsid w:val="002C2961"/>
    <w:rsid w:val="002C4361"/>
    <w:rsid w:val="002C44C0"/>
    <w:rsid w:val="002C5821"/>
    <w:rsid w:val="002C7717"/>
    <w:rsid w:val="002D0C19"/>
    <w:rsid w:val="002D0D6C"/>
    <w:rsid w:val="002D25C7"/>
    <w:rsid w:val="002D3C0C"/>
    <w:rsid w:val="002D3CE6"/>
    <w:rsid w:val="002D6E3B"/>
    <w:rsid w:val="002D7E50"/>
    <w:rsid w:val="002E089B"/>
    <w:rsid w:val="002E1520"/>
    <w:rsid w:val="002E61BA"/>
    <w:rsid w:val="002E6D2D"/>
    <w:rsid w:val="002E7B31"/>
    <w:rsid w:val="002F191C"/>
    <w:rsid w:val="002F1B14"/>
    <w:rsid w:val="002F36D4"/>
    <w:rsid w:val="002F3AE3"/>
    <w:rsid w:val="002F41CD"/>
    <w:rsid w:val="002F7529"/>
    <w:rsid w:val="0030087F"/>
    <w:rsid w:val="003013F4"/>
    <w:rsid w:val="0030418F"/>
    <w:rsid w:val="003051CF"/>
    <w:rsid w:val="00305C99"/>
    <w:rsid w:val="0030714C"/>
    <w:rsid w:val="0030786C"/>
    <w:rsid w:val="0031017B"/>
    <w:rsid w:val="00310CAA"/>
    <w:rsid w:val="00313782"/>
    <w:rsid w:val="00315C7D"/>
    <w:rsid w:val="00317F2B"/>
    <w:rsid w:val="003209B5"/>
    <w:rsid w:val="00321DCE"/>
    <w:rsid w:val="003230A7"/>
    <w:rsid w:val="0032370A"/>
    <w:rsid w:val="00326A72"/>
    <w:rsid w:val="00327CB3"/>
    <w:rsid w:val="00330252"/>
    <w:rsid w:val="00330E57"/>
    <w:rsid w:val="0033383B"/>
    <w:rsid w:val="00335010"/>
    <w:rsid w:val="0033678E"/>
    <w:rsid w:val="00337587"/>
    <w:rsid w:val="0034032E"/>
    <w:rsid w:val="00340E28"/>
    <w:rsid w:val="00342ADD"/>
    <w:rsid w:val="00343F1D"/>
    <w:rsid w:val="00344B4C"/>
    <w:rsid w:val="003537DA"/>
    <w:rsid w:val="00356DE9"/>
    <w:rsid w:val="00357912"/>
    <w:rsid w:val="00357BFD"/>
    <w:rsid w:val="00361817"/>
    <w:rsid w:val="003623A3"/>
    <w:rsid w:val="003741A3"/>
    <w:rsid w:val="003751BA"/>
    <w:rsid w:val="00377A1F"/>
    <w:rsid w:val="00380EED"/>
    <w:rsid w:val="00380FD2"/>
    <w:rsid w:val="0038191F"/>
    <w:rsid w:val="00394DB5"/>
    <w:rsid w:val="003958C0"/>
    <w:rsid w:val="0039649D"/>
    <w:rsid w:val="003A3A58"/>
    <w:rsid w:val="003A40E3"/>
    <w:rsid w:val="003A44AE"/>
    <w:rsid w:val="003A5043"/>
    <w:rsid w:val="003B0943"/>
    <w:rsid w:val="003B17F8"/>
    <w:rsid w:val="003B3341"/>
    <w:rsid w:val="003B4246"/>
    <w:rsid w:val="003B446C"/>
    <w:rsid w:val="003B4805"/>
    <w:rsid w:val="003B7F89"/>
    <w:rsid w:val="003C0925"/>
    <w:rsid w:val="003C56FE"/>
    <w:rsid w:val="003C679B"/>
    <w:rsid w:val="003C6A44"/>
    <w:rsid w:val="003C7676"/>
    <w:rsid w:val="003C79D0"/>
    <w:rsid w:val="003D08F3"/>
    <w:rsid w:val="003D17F9"/>
    <w:rsid w:val="003D3ADA"/>
    <w:rsid w:val="003D5D06"/>
    <w:rsid w:val="003D7B77"/>
    <w:rsid w:val="003E0BB4"/>
    <w:rsid w:val="003E149B"/>
    <w:rsid w:val="003E5A8F"/>
    <w:rsid w:val="003E5B61"/>
    <w:rsid w:val="003E6755"/>
    <w:rsid w:val="003E6CDF"/>
    <w:rsid w:val="003F1D4B"/>
    <w:rsid w:val="003F3837"/>
    <w:rsid w:val="003F5F70"/>
    <w:rsid w:val="003F72EE"/>
    <w:rsid w:val="00400F8D"/>
    <w:rsid w:val="00401C29"/>
    <w:rsid w:val="00402125"/>
    <w:rsid w:val="00402940"/>
    <w:rsid w:val="004029F9"/>
    <w:rsid w:val="00402CDD"/>
    <w:rsid w:val="004030D2"/>
    <w:rsid w:val="0040494D"/>
    <w:rsid w:val="00404DEB"/>
    <w:rsid w:val="0041046A"/>
    <w:rsid w:val="00412F2E"/>
    <w:rsid w:val="004132F0"/>
    <w:rsid w:val="004165D1"/>
    <w:rsid w:val="0041766C"/>
    <w:rsid w:val="00420208"/>
    <w:rsid w:val="0042205B"/>
    <w:rsid w:val="004225B8"/>
    <w:rsid w:val="00424306"/>
    <w:rsid w:val="004317E0"/>
    <w:rsid w:val="00431B8E"/>
    <w:rsid w:val="0043500B"/>
    <w:rsid w:val="004402EC"/>
    <w:rsid w:val="00442E80"/>
    <w:rsid w:val="004431CE"/>
    <w:rsid w:val="00443D60"/>
    <w:rsid w:val="0044471D"/>
    <w:rsid w:val="00446387"/>
    <w:rsid w:val="004468EF"/>
    <w:rsid w:val="004531B6"/>
    <w:rsid w:val="00455CD3"/>
    <w:rsid w:val="00456BD2"/>
    <w:rsid w:val="00456FD0"/>
    <w:rsid w:val="004600E2"/>
    <w:rsid w:val="00463960"/>
    <w:rsid w:val="00465558"/>
    <w:rsid w:val="00465E32"/>
    <w:rsid w:val="00466752"/>
    <w:rsid w:val="004734CC"/>
    <w:rsid w:val="0047567E"/>
    <w:rsid w:val="0047665C"/>
    <w:rsid w:val="004768C8"/>
    <w:rsid w:val="00480E7D"/>
    <w:rsid w:val="00481734"/>
    <w:rsid w:val="004821CE"/>
    <w:rsid w:val="004856D0"/>
    <w:rsid w:val="004867E2"/>
    <w:rsid w:val="00487DFF"/>
    <w:rsid w:val="00490A6E"/>
    <w:rsid w:val="00490A7B"/>
    <w:rsid w:val="00493AF6"/>
    <w:rsid w:val="00493BEA"/>
    <w:rsid w:val="00495B3B"/>
    <w:rsid w:val="00496E93"/>
    <w:rsid w:val="0049709B"/>
    <w:rsid w:val="004976DC"/>
    <w:rsid w:val="00497845"/>
    <w:rsid w:val="004A5234"/>
    <w:rsid w:val="004B2059"/>
    <w:rsid w:val="004B30A3"/>
    <w:rsid w:val="004B3DEE"/>
    <w:rsid w:val="004B5223"/>
    <w:rsid w:val="004B584C"/>
    <w:rsid w:val="004B6207"/>
    <w:rsid w:val="004B7CF4"/>
    <w:rsid w:val="004C2C9A"/>
    <w:rsid w:val="004C3FD1"/>
    <w:rsid w:val="004C41B3"/>
    <w:rsid w:val="004D001F"/>
    <w:rsid w:val="004D142A"/>
    <w:rsid w:val="004D568F"/>
    <w:rsid w:val="004D642F"/>
    <w:rsid w:val="004D6909"/>
    <w:rsid w:val="004D772D"/>
    <w:rsid w:val="004E018B"/>
    <w:rsid w:val="004E215E"/>
    <w:rsid w:val="004F0293"/>
    <w:rsid w:val="004F36F6"/>
    <w:rsid w:val="004F4568"/>
    <w:rsid w:val="004F4835"/>
    <w:rsid w:val="004F4EA5"/>
    <w:rsid w:val="004F7552"/>
    <w:rsid w:val="004F78BD"/>
    <w:rsid w:val="004F7954"/>
    <w:rsid w:val="0050141B"/>
    <w:rsid w:val="00501DB4"/>
    <w:rsid w:val="00502D65"/>
    <w:rsid w:val="00503682"/>
    <w:rsid w:val="00507876"/>
    <w:rsid w:val="00507C04"/>
    <w:rsid w:val="005116B6"/>
    <w:rsid w:val="00511E43"/>
    <w:rsid w:val="00512F36"/>
    <w:rsid w:val="00513BD5"/>
    <w:rsid w:val="00514637"/>
    <w:rsid w:val="00514FC1"/>
    <w:rsid w:val="005156CE"/>
    <w:rsid w:val="00515F54"/>
    <w:rsid w:val="00517621"/>
    <w:rsid w:val="0052048E"/>
    <w:rsid w:val="005211CE"/>
    <w:rsid w:val="00521957"/>
    <w:rsid w:val="00523792"/>
    <w:rsid w:val="00525D62"/>
    <w:rsid w:val="00533650"/>
    <w:rsid w:val="00533A79"/>
    <w:rsid w:val="005341BA"/>
    <w:rsid w:val="00535BA2"/>
    <w:rsid w:val="00537630"/>
    <w:rsid w:val="00540F9E"/>
    <w:rsid w:val="005415F5"/>
    <w:rsid w:val="00541E6E"/>
    <w:rsid w:val="00544007"/>
    <w:rsid w:val="00545379"/>
    <w:rsid w:val="00545B0A"/>
    <w:rsid w:val="00547621"/>
    <w:rsid w:val="00550562"/>
    <w:rsid w:val="005508E8"/>
    <w:rsid w:val="005509F0"/>
    <w:rsid w:val="00550A5C"/>
    <w:rsid w:val="00551EE4"/>
    <w:rsid w:val="00553B12"/>
    <w:rsid w:val="005542B4"/>
    <w:rsid w:val="00554E0A"/>
    <w:rsid w:val="0055731E"/>
    <w:rsid w:val="005610A4"/>
    <w:rsid w:val="005610E2"/>
    <w:rsid w:val="00561DFE"/>
    <w:rsid w:val="00564145"/>
    <w:rsid w:val="00564F88"/>
    <w:rsid w:val="00566F94"/>
    <w:rsid w:val="00570992"/>
    <w:rsid w:val="005720C0"/>
    <w:rsid w:val="00573E75"/>
    <w:rsid w:val="005741BA"/>
    <w:rsid w:val="00574319"/>
    <w:rsid w:val="005772D9"/>
    <w:rsid w:val="0058069E"/>
    <w:rsid w:val="00581100"/>
    <w:rsid w:val="00583448"/>
    <w:rsid w:val="00585546"/>
    <w:rsid w:val="005858E1"/>
    <w:rsid w:val="00586388"/>
    <w:rsid w:val="0058702C"/>
    <w:rsid w:val="00592960"/>
    <w:rsid w:val="00594441"/>
    <w:rsid w:val="00594564"/>
    <w:rsid w:val="0059485A"/>
    <w:rsid w:val="005948AD"/>
    <w:rsid w:val="0059697C"/>
    <w:rsid w:val="005A3C0E"/>
    <w:rsid w:val="005A6A8A"/>
    <w:rsid w:val="005B03C1"/>
    <w:rsid w:val="005B0E70"/>
    <w:rsid w:val="005B144A"/>
    <w:rsid w:val="005B47B8"/>
    <w:rsid w:val="005C08EF"/>
    <w:rsid w:val="005C0B36"/>
    <w:rsid w:val="005C416A"/>
    <w:rsid w:val="005C63F7"/>
    <w:rsid w:val="005C6618"/>
    <w:rsid w:val="005D0CAF"/>
    <w:rsid w:val="005D517A"/>
    <w:rsid w:val="005E2A17"/>
    <w:rsid w:val="005E4611"/>
    <w:rsid w:val="005E7921"/>
    <w:rsid w:val="005F067F"/>
    <w:rsid w:val="005F0AB6"/>
    <w:rsid w:val="005F1DD3"/>
    <w:rsid w:val="005F1FB1"/>
    <w:rsid w:val="005F228F"/>
    <w:rsid w:val="005F5871"/>
    <w:rsid w:val="005F677B"/>
    <w:rsid w:val="005F782B"/>
    <w:rsid w:val="006002C6"/>
    <w:rsid w:val="00601DFE"/>
    <w:rsid w:val="00604579"/>
    <w:rsid w:val="00604951"/>
    <w:rsid w:val="006050D1"/>
    <w:rsid w:val="00605BC9"/>
    <w:rsid w:val="006072A2"/>
    <w:rsid w:val="00607F1B"/>
    <w:rsid w:val="0061091B"/>
    <w:rsid w:val="00612A0E"/>
    <w:rsid w:val="00612AC4"/>
    <w:rsid w:val="00612DAD"/>
    <w:rsid w:val="0061408C"/>
    <w:rsid w:val="00617C1A"/>
    <w:rsid w:val="0062160B"/>
    <w:rsid w:val="00621E14"/>
    <w:rsid w:val="00624677"/>
    <w:rsid w:val="0062527E"/>
    <w:rsid w:val="00625BAA"/>
    <w:rsid w:val="00626125"/>
    <w:rsid w:val="006263E5"/>
    <w:rsid w:val="00626FF8"/>
    <w:rsid w:val="006279DD"/>
    <w:rsid w:val="006326AE"/>
    <w:rsid w:val="006339BE"/>
    <w:rsid w:val="00634F55"/>
    <w:rsid w:val="00635396"/>
    <w:rsid w:val="006360F7"/>
    <w:rsid w:val="00640D1A"/>
    <w:rsid w:val="006420C6"/>
    <w:rsid w:val="00644074"/>
    <w:rsid w:val="00644315"/>
    <w:rsid w:val="00644E52"/>
    <w:rsid w:val="00645A5D"/>
    <w:rsid w:val="00645BDC"/>
    <w:rsid w:val="006465D2"/>
    <w:rsid w:val="006468C5"/>
    <w:rsid w:val="00647963"/>
    <w:rsid w:val="00647B5A"/>
    <w:rsid w:val="006535AF"/>
    <w:rsid w:val="0065511B"/>
    <w:rsid w:val="00660D3F"/>
    <w:rsid w:val="00660F70"/>
    <w:rsid w:val="006617EA"/>
    <w:rsid w:val="00662384"/>
    <w:rsid w:val="006640F1"/>
    <w:rsid w:val="00664E4A"/>
    <w:rsid w:val="0066560F"/>
    <w:rsid w:val="00665CEE"/>
    <w:rsid w:val="00666897"/>
    <w:rsid w:val="00667AE2"/>
    <w:rsid w:val="0067143B"/>
    <w:rsid w:val="00673973"/>
    <w:rsid w:val="00680368"/>
    <w:rsid w:val="006806F3"/>
    <w:rsid w:val="006824CA"/>
    <w:rsid w:val="006859DD"/>
    <w:rsid w:val="006867DD"/>
    <w:rsid w:val="006937DD"/>
    <w:rsid w:val="00694042"/>
    <w:rsid w:val="00697C1A"/>
    <w:rsid w:val="006A1713"/>
    <w:rsid w:val="006A3A47"/>
    <w:rsid w:val="006A525E"/>
    <w:rsid w:val="006A6EC1"/>
    <w:rsid w:val="006B3F44"/>
    <w:rsid w:val="006B4591"/>
    <w:rsid w:val="006B4FFB"/>
    <w:rsid w:val="006C0CC3"/>
    <w:rsid w:val="006C11BC"/>
    <w:rsid w:val="006C17BE"/>
    <w:rsid w:val="006C30EF"/>
    <w:rsid w:val="006C3558"/>
    <w:rsid w:val="006C4975"/>
    <w:rsid w:val="006C7183"/>
    <w:rsid w:val="006C7663"/>
    <w:rsid w:val="006D2512"/>
    <w:rsid w:val="006D42B8"/>
    <w:rsid w:val="006D6C5C"/>
    <w:rsid w:val="006D70B5"/>
    <w:rsid w:val="006D7FF4"/>
    <w:rsid w:val="006E1542"/>
    <w:rsid w:val="006E27B1"/>
    <w:rsid w:val="006E4DC4"/>
    <w:rsid w:val="006F1FD5"/>
    <w:rsid w:val="006F4D55"/>
    <w:rsid w:val="00701D04"/>
    <w:rsid w:val="00702DFA"/>
    <w:rsid w:val="007042BE"/>
    <w:rsid w:val="00706C37"/>
    <w:rsid w:val="00707A6B"/>
    <w:rsid w:val="007104DA"/>
    <w:rsid w:val="00710E37"/>
    <w:rsid w:val="00714F6B"/>
    <w:rsid w:val="007215D5"/>
    <w:rsid w:val="00723526"/>
    <w:rsid w:val="00724C4A"/>
    <w:rsid w:val="00724C8D"/>
    <w:rsid w:val="0072594E"/>
    <w:rsid w:val="007273A5"/>
    <w:rsid w:val="00730088"/>
    <w:rsid w:val="007307ED"/>
    <w:rsid w:val="00731688"/>
    <w:rsid w:val="007317AF"/>
    <w:rsid w:val="00731A20"/>
    <w:rsid w:val="00737B55"/>
    <w:rsid w:val="007479A3"/>
    <w:rsid w:val="007503A6"/>
    <w:rsid w:val="00752CCF"/>
    <w:rsid w:val="007534F3"/>
    <w:rsid w:val="00756852"/>
    <w:rsid w:val="00757024"/>
    <w:rsid w:val="007637E6"/>
    <w:rsid w:val="0077015D"/>
    <w:rsid w:val="0077076C"/>
    <w:rsid w:val="007707EA"/>
    <w:rsid w:val="0077130B"/>
    <w:rsid w:val="007714A2"/>
    <w:rsid w:val="0077215B"/>
    <w:rsid w:val="007725AA"/>
    <w:rsid w:val="0077278D"/>
    <w:rsid w:val="00774995"/>
    <w:rsid w:val="00775905"/>
    <w:rsid w:val="00777642"/>
    <w:rsid w:val="00782B53"/>
    <w:rsid w:val="00783069"/>
    <w:rsid w:val="00784C8B"/>
    <w:rsid w:val="007856D8"/>
    <w:rsid w:val="00785A1D"/>
    <w:rsid w:val="00785E1A"/>
    <w:rsid w:val="00786235"/>
    <w:rsid w:val="00786411"/>
    <w:rsid w:val="007873BE"/>
    <w:rsid w:val="00787F2C"/>
    <w:rsid w:val="00790603"/>
    <w:rsid w:val="00790BA1"/>
    <w:rsid w:val="007947D6"/>
    <w:rsid w:val="0079488B"/>
    <w:rsid w:val="007A54BE"/>
    <w:rsid w:val="007A65B2"/>
    <w:rsid w:val="007B152A"/>
    <w:rsid w:val="007B23FD"/>
    <w:rsid w:val="007B2B8D"/>
    <w:rsid w:val="007B30D8"/>
    <w:rsid w:val="007B35AA"/>
    <w:rsid w:val="007B4777"/>
    <w:rsid w:val="007B5400"/>
    <w:rsid w:val="007C0022"/>
    <w:rsid w:val="007C003D"/>
    <w:rsid w:val="007C339C"/>
    <w:rsid w:val="007C7849"/>
    <w:rsid w:val="007D07F1"/>
    <w:rsid w:val="007D2CD0"/>
    <w:rsid w:val="007D67DF"/>
    <w:rsid w:val="007D6D5F"/>
    <w:rsid w:val="007E01C5"/>
    <w:rsid w:val="007E256E"/>
    <w:rsid w:val="007E394C"/>
    <w:rsid w:val="007E5BA4"/>
    <w:rsid w:val="007E5DFD"/>
    <w:rsid w:val="007F25BD"/>
    <w:rsid w:val="007F35A8"/>
    <w:rsid w:val="007F5668"/>
    <w:rsid w:val="007F5FA0"/>
    <w:rsid w:val="007F765D"/>
    <w:rsid w:val="007F7A32"/>
    <w:rsid w:val="00801D4A"/>
    <w:rsid w:val="008037CE"/>
    <w:rsid w:val="00806E20"/>
    <w:rsid w:val="00816562"/>
    <w:rsid w:val="0082018E"/>
    <w:rsid w:val="00820FB1"/>
    <w:rsid w:val="008225F1"/>
    <w:rsid w:val="00823B95"/>
    <w:rsid w:val="008264EB"/>
    <w:rsid w:val="00827DDB"/>
    <w:rsid w:val="00831984"/>
    <w:rsid w:val="0083499B"/>
    <w:rsid w:val="0083641C"/>
    <w:rsid w:val="00847D54"/>
    <w:rsid w:val="00850EAC"/>
    <w:rsid w:val="00851356"/>
    <w:rsid w:val="0085166B"/>
    <w:rsid w:val="008519D7"/>
    <w:rsid w:val="0085307C"/>
    <w:rsid w:val="008542ED"/>
    <w:rsid w:val="008559B4"/>
    <w:rsid w:val="00861BA1"/>
    <w:rsid w:val="00863263"/>
    <w:rsid w:val="008637BD"/>
    <w:rsid w:val="008661C0"/>
    <w:rsid w:val="00876127"/>
    <w:rsid w:val="008768C8"/>
    <w:rsid w:val="00882DA1"/>
    <w:rsid w:val="00885DB2"/>
    <w:rsid w:val="0088612C"/>
    <w:rsid w:val="00887A10"/>
    <w:rsid w:val="00893CCD"/>
    <w:rsid w:val="00893EC7"/>
    <w:rsid w:val="00894A63"/>
    <w:rsid w:val="0089585E"/>
    <w:rsid w:val="008964CC"/>
    <w:rsid w:val="00897A50"/>
    <w:rsid w:val="008A6C8A"/>
    <w:rsid w:val="008A7173"/>
    <w:rsid w:val="008B1A8E"/>
    <w:rsid w:val="008B62A6"/>
    <w:rsid w:val="008B6843"/>
    <w:rsid w:val="008B6874"/>
    <w:rsid w:val="008C0111"/>
    <w:rsid w:val="008C02E2"/>
    <w:rsid w:val="008C3E26"/>
    <w:rsid w:val="008C49A5"/>
    <w:rsid w:val="008C549E"/>
    <w:rsid w:val="008C6B49"/>
    <w:rsid w:val="008D0446"/>
    <w:rsid w:val="008D0BA3"/>
    <w:rsid w:val="008D1BF0"/>
    <w:rsid w:val="008D2497"/>
    <w:rsid w:val="008D2DED"/>
    <w:rsid w:val="008D3127"/>
    <w:rsid w:val="008D44AD"/>
    <w:rsid w:val="008D461F"/>
    <w:rsid w:val="008D70C8"/>
    <w:rsid w:val="008D7CA0"/>
    <w:rsid w:val="008E1A33"/>
    <w:rsid w:val="008E2257"/>
    <w:rsid w:val="008E3967"/>
    <w:rsid w:val="008E3D0E"/>
    <w:rsid w:val="008E42D3"/>
    <w:rsid w:val="008E5CD9"/>
    <w:rsid w:val="008F0C31"/>
    <w:rsid w:val="008F702B"/>
    <w:rsid w:val="00901A0C"/>
    <w:rsid w:val="00903B83"/>
    <w:rsid w:val="00905908"/>
    <w:rsid w:val="00910F40"/>
    <w:rsid w:val="00911DF6"/>
    <w:rsid w:val="009204FA"/>
    <w:rsid w:val="0092096E"/>
    <w:rsid w:val="00921281"/>
    <w:rsid w:val="00927FB4"/>
    <w:rsid w:val="00933AE7"/>
    <w:rsid w:val="00934B95"/>
    <w:rsid w:val="00935726"/>
    <w:rsid w:val="00937307"/>
    <w:rsid w:val="00943077"/>
    <w:rsid w:val="00946CD7"/>
    <w:rsid w:val="0094780C"/>
    <w:rsid w:val="00950FB1"/>
    <w:rsid w:val="0095377C"/>
    <w:rsid w:val="00956413"/>
    <w:rsid w:val="00956C59"/>
    <w:rsid w:val="0096758E"/>
    <w:rsid w:val="00970895"/>
    <w:rsid w:val="009720D8"/>
    <w:rsid w:val="00974D51"/>
    <w:rsid w:val="009810C8"/>
    <w:rsid w:val="00981D41"/>
    <w:rsid w:val="00982737"/>
    <w:rsid w:val="00985246"/>
    <w:rsid w:val="00987698"/>
    <w:rsid w:val="0099091C"/>
    <w:rsid w:val="00990A1D"/>
    <w:rsid w:val="009911F1"/>
    <w:rsid w:val="009921CA"/>
    <w:rsid w:val="00992B12"/>
    <w:rsid w:val="00993289"/>
    <w:rsid w:val="00993765"/>
    <w:rsid w:val="00994B79"/>
    <w:rsid w:val="00994F27"/>
    <w:rsid w:val="009977CA"/>
    <w:rsid w:val="009A0797"/>
    <w:rsid w:val="009A08E7"/>
    <w:rsid w:val="009A12FF"/>
    <w:rsid w:val="009A4467"/>
    <w:rsid w:val="009A6F70"/>
    <w:rsid w:val="009B135E"/>
    <w:rsid w:val="009B30B2"/>
    <w:rsid w:val="009B4253"/>
    <w:rsid w:val="009B4774"/>
    <w:rsid w:val="009B547E"/>
    <w:rsid w:val="009B67EB"/>
    <w:rsid w:val="009C06B5"/>
    <w:rsid w:val="009C073B"/>
    <w:rsid w:val="009C142F"/>
    <w:rsid w:val="009C14BD"/>
    <w:rsid w:val="009C2106"/>
    <w:rsid w:val="009C5989"/>
    <w:rsid w:val="009D0171"/>
    <w:rsid w:val="009D0269"/>
    <w:rsid w:val="009D0F97"/>
    <w:rsid w:val="009D18AB"/>
    <w:rsid w:val="009D3161"/>
    <w:rsid w:val="009D6535"/>
    <w:rsid w:val="009D6C22"/>
    <w:rsid w:val="009E034A"/>
    <w:rsid w:val="009E136A"/>
    <w:rsid w:val="009E7C93"/>
    <w:rsid w:val="009E7E0E"/>
    <w:rsid w:val="009F07AF"/>
    <w:rsid w:val="009F2A4D"/>
    <w:rsid w:val="009F38C1"/>
    <w:rsid w:val="009F6FF4"/>
    <w:rsid w:val="009F7A96"/>
    <w:rsid w:val="009F7D62"/>
    <w:rsid w:val="00A0142E"/>
    <w:rsid w:val="00A01CF4"/>
    <w:rsid w:val="00A064C1"/>
    <w:rsid w:val="00A106AA"/>
    <w:rsid w:val="00A1083A"/>
    <w:rsid w:val="00A1113D"/>
    <w:rsid w:val="00A15020"/>
    <w:rsid w:val="00A1700A"/>
    <w:rsid w:val="00A176E2"/>
    <w:rsid w:val="00A204DF"/>
    <w:rsid w:val="00A20994"/>
    <w:rsid w:val="00A2147D"/>
    <w:rsid w:val="00A237C3"/>
    <w:rsid w:val="00A25856"/>
    <w:rsid w:val="00A26B43"/>
    <w:rsid w:val="00A26EA8"/>
    <w:rsid w:val="00A27585"/>
    <w:rsid w:val="00A27D27"/>
    <w:rsid w:val="00A27DBC"/>
    <w:rsid w:val="00A30AD1"/>
    <w:rsid w:val="00A318A2"/>
    <w:rsid w:val="00A31F17"/>
    <w:rsid w:val="00A358C0"/>
    <w:rsid w:val="00A42CA9"/>
    <w:rsid w:val="00A4512D"/>
    <w:rsid w:val="00A45A3F"/>
    <w:rsid w:val="00A47885"/>
    <w:rsid w:val="00A51EE4"/>
    <w:rsid w:val="00A52643"/>
    <w:rsid w:val="00A532B3"/>
    <w:rsid w:val="00A54D2B"/>
    <w:rsid w:val="00A61518"/>
    <w:rsid w:val="00A61880"/>
    <w:rsid w:val="00A62B87"/>
    <w:rsid w:val="00A63C8C"/>
    <w:rsid w:val="00A64C9F"/>
    <w:rsid w:val="00A705AF"/>
    <w:rsid w:val="00A70629"/>
    <w:rsid w:val="00A7134F"/>
    <w:rsid w:val="00A7358D"/>
    <w:rsid w:val="00A74B57"/>
    <w:rsid w:val="00A770F1"/>
    <w:rsid w:val="00A83BF7"/>
    <w:rsid w:val="00A86A69"/>
    <w:rsid w:val="00A8719E"/>
    <w:rsid w:val="00A877A3"/>
    <w:rsid w:val="00A90ABA"/>
    <w:rsid w:val="00A9265A"/>
    <w:rsid w:val="00A92B9C"/>
    <w:rsid w:val="00A93B43"/>
    <w:rsid w:val="00A943E4"/>
    <w:rsid w:val="00A973B4"/>
    <w:rsid w:val="00AA002D"/>
    <w:rsid w:val="00AA08A1"/>
    <w:rsid w:val="00AA1627"/>
    <w:rsid w:val="00AA3075"/>
    <w:rsid w:val="00AA3217"/>
    <w:rsid w:val="00AA4648"/>
    <w:rsid w:val="00AA5C47"/>
    <w:rsid w:val="00AB2A6E"/>
    <w:rsid w:val="00AB3B3C"/>
    <w:rsid w:val="00AB3C45"/>
    <w:rsid w:val="00AB4321"/>
    <w:rsid w:val="00AB6FE4"/>
    <w:rsid w:val="00AC2903"/>
    <w:rsid w:val="00AC372E"/>
    <w:rsid w:val="00AC3809"/>
    <w:rsid w:val="00AC55D5"/>
    <w:rsid w:val="00AC59F2"/>
    <w:rsid w:val="00AC5C3E"/>
    <w:rsid w:val="00AC626A"/>
    <w:rsid w:val="00AD1463"/>
    <w:rsid w:val="00AD1827"/>
    <w:rsid w:val="00AD3FBF"/>
    <w:rsid w:val="00AD45DA"/>
    <w:rsid w:val="00AD49B7"/>
    <w:rsid w:val="00AD6EBB"/>
    <w:rsid w:val="00AD73C5"/>
    <w:rsid w:val="00AE32D9"/>
    <w:rsid w:val="00AE3B8C"/>
    <w:rsid w:val="00AE591A"/>
    <w:rsid w:val="00AE5C66"/>
    <w:rsid w:val="00AE77D9"/>
    <w:rsid w:val="00AF11A3"/>
    <w:rsid w:val="00AF3F39"/>
    <w:rsid w:val="00AF4DFC"/>
    <w:rsid w:val="00AF758F"/>
    <w:rsid w:val="00AF79B8"/>
    <w:rsid w:val="00B01B78"/>
    <w:rsid w:val="00B02632"/>
    <w:rsid w:val="00B04364"/>
    <w:rsid w:val="00B0444E"/>
    <w:rsid w:val="00B04C74"/>
    <w:rsid w:val="00B07A2D"/>
    <w:rsid w:val="00B11651"/>
    <w:rsid w:val="00B11949"/>
    <w:rsid w:val="00B12CA2"/>
    <w:rsid w:val="00B131D5"/>
    <w:rsid w:val="00B20BED"/>
    <w:rsid w:val="00B22640"/>
    <w:rsid w:val="00B2278B"/>
    <w:rsid w:val="00B241F9"/>
    <w:rsid w:val="00B267F1"/>
    <w:rsid w:val="00B30749"/>
    <w:rsid w:val="00B32A04"/>
    <w:rsid w:val="00B32DD9"/>
    <w:rsid w:val="00B33739"/>
    <w:rsid w:val="00B34F12"/>
    <w:rsid w:val="00B35E2D"/>
    <w:rsid w:val="00B35F9D"/>
    <w:rsid w:val="00B360D0"/>
    <w:rsid w:val="00B410EB"/>
    <w:rsid w:val="00B42851"/>
    <w:rsid w:val="00B50115"/>
    <w:rsid w:val="00B5120C"/>
    <w:rsid w:val="00B522E4"/>
    <w:rsid w:val="00B56F85"/>
    <w:rsid w:val="00B601F1"/>
    <w:rsid w:val="00B60967"/>
    <w:rsid w:val="00B62D90"/>
    <w:rsid w:val="00B64F45"/>
    <w:rsid w:val="00B65C73"/>
    <w:rsid w:val="00B71111"/>
    <w:rsid w:val="00B72998"/>
    <w:rsid w:val="00B75739"/>
    <w:rsid w:val="00B76989"/>
    <w:rsid w:val="00B8039F"/>
    <w:rsid w:val="00B80FD3"/>
    <w:rsid w:val="00B81D83"/>
    <w:rsid w:val="00B849B1"/>
    <w:rsid w:val="00B919C0"/>
    <w:rsid w:val="00B92F66"/>
    <w:rsid w:val="00B93C88"/>
    <w:rsid w:val="00B94C0E"/>
    <w:rsid w:val="00B95D3C"/>
    <w:rsid w:val="00B970C8"/>
    <w:rsid w:val="00B974A4"/>
    <w:rsid w:val="00B976FB"/>
    <w:rsid w:val="00BA0780"/>
    <w:rsid w:val="00BA4306"/>
    <w:rsid w:val="00BA4B88"/>
    <w:rsid w:val="00BA5A18"/>
    <w:rsid w:val="00BA6894"/>
    <w:rsid w:val="00BB0745"/>
    <w:rsid w:val="00BB1190"/>
    <w:rsid w:val="00BB4C3A"/>
    <w:rsid w:val="00BB63AE"/>
    <w:rsid w:val="00BB773B"/>
    <w:rsid w:val="00BB7B7D"/>
    <w:rsid w:val="00BC3874"/>
    <w:rsid w:val="00BC3E71"/>
    <w:rsid w:val="00BC3FE7"/>
    <w:rsid w:val="00BC5BEF"/>
    <w:rsid w:val="00BD1EDF"/>
    <w:rsid w:val="00BD29FB"/>
    <w:rsid w:val="00BE2B77"/>
    <w:rsid w:val="00BE7A1A"/>
    <w:rsid w:val="00BF11E1"/>
    <w:rsid w:val="00BF17D0"/>
    <w:rsid w:val="00BF7940"/>
    <w:rsid w:val="00C00512"/>
    <w:rsid w:val="00C0579F"/>
    <w:rsid w:val="00C0581A"/>
    <w:rsid w:val="00C07EE1"/>
    <w:rsid w:val="00C12373"/>
    <w:rsid w:val="00C1345E"/>
    <w:rsid w:val="00C134C4"/>
    <w:rsid w:val="00C1593D"/>
    <w:rsid w:val="00C216B8"/>
    <w:rsid w:val="00C26145"/>
    <w:rsid w:val="00C30227"/>
    <w:rsid w:val="00C34E55"/>
    <w:rsid w:val="00C41522"/>
    <w:rsid w:val="00C46656"/>
    <w:rsid w:val="00C504E4"/>
    <w:rsid w:val="00C516D8"/>
    <w:rsid w:val="00C53075"/>
    <w:rsid w:val="00C54B02"/>
    <w:rsid w:val="00C555F7"/>
    <w:rsid w:val="00C5674E"/>
    <w:rsid w:val="00C7307A"/>
    <w:rsid w:val="00C813A0"/>
    <w:rsid w:val="00C81A40"/>
    <w:rsid w:val="00C823E0"/>
    <w:rsid w:val="00C854F4"/>
    <w:rsid w:val="00C86A02"/>
    <w:rsid w:val="00C94A2A"/>
    <w:rsid w:val="00CA1AAC"/>
    <w:rsid w:val="00CA1CE5"/>
    <w:rsid w:val="00CA406B"/>
    <w:rsid w:val="00CA4C07"/>
    <w:rsid w:val="00CA53E4"/>
    <w:rsid w:val="00CA5813"/>
    <w:rsid w:val="00CB285A"/>
    <w:rsid w:val="00CB2D04"/>
    <w:rsid w:val="00CB488C"/>
    <w:rsid w:val="00CB5B1A"/>
    <w:rsid w:val="00CB5DA0"/>
    <w:rsid w:val="00CB6BBA"/>
    <w:rsid w:val="00CC012B"/>
    <w:rsid w:val="00CC0A59"/>
    <w:rsid w:val="00CC431B"/>
    <w:rsid w:val="00CC4829"/>
    <w:rsid w:val="00CC51E2"/>
    <w:rsid w:val="00CC5D50"/>
    <w:rsid w:val="00CD0144"/>
    <w:rsid w:val="00CD01F6"/>
    <w:rsid w:val="00CD1909"/>
    <w:rsid w:val="00CD6DBC"/>
    <w:rsid w:val="00CE0D69"/>
    <w:rsid w:val="00CE1612"/>
    <w:rsid w:val="00CE1A44"/>
    <w:rsid w:val="00CF159D"/>
    <w:rsid w:val="00CF2D4C"/>
    <w:rsid w:val="00CF34AD"/>
    <w:rsid w:val="00CF378D"/>
    <w:rsid w:val="00D02341"/>
    <w:rsid w:val="00D03D60"/>
    <w:rsid w:val="00D101BF"/>
    <w:rsid w:val="00D13ECF"/>
    <w:rsid w:val="00D160A6"/>
    <w:rsid w:val="00D23EA8"/>
    <w:rsid w:val="00D24E5D"/>
    <w:rsid w:val="00D3603C"/>
    <w:rsid w:val="00D369A7"/>
    <w:rsid w:val="00D4085C"/>
    <w:rsid w:val="00D453D0"/>
    <w:rsid w:val="00D50BCC"/>
    <w:rsid w:val="00D50E43"/>
    <w:rsid w:val="00D530BD"/>
    <w:rsid w:val="00D570D1"/>
    <w:rsid w:val="00D63275"/>
    <w:rsid w:val="00D63FB8"/>
    <w:rsid w:val="00D65335"/>
    <w:rsid w:val="00D665B7"/>
    <w:rsid w:val="00D67E74"/>
    <w:rsid w:val="00D71442"/>
    <w:rsid w:val="00D72F8E"/>
    <w:rsid w:val="00D733BA"/>
    <w:rsid w:val="00D745CE"/>
    <w:rsid w:val="00D75FFC"/>
    <w:rsid w:val="00D82DFB"/>
    <w:rsid w:val="00D875BF"/>
    <w:rsid w:val="00D91A0A"/>
    <w:rsid w:val="00D93703"/>
    <w:rsid w:val="00D959F7"/>
    <w:rsid w:val="00D95B7F"/>
    <w:rsid w:val="00D96F01"/>
    <w:rsid w:val="00DA24C6"/>
    <w:rsid w:val="00DA2ED0"/>
    <w:rsid w:val="00DA2F67"/>
    <w:rsid w:val="00DA3FFA"/>
    <w:rsid w:val="00DA4A6E"/>
    <w:rsid w:val="00DA5D5D"/>
    <w:rsid w:val="00DA5F7E"/>
    <w:rsid w:val="00DB3F29"/>
    <w:rsid w:val="00DC1EE6"/>
    <w:rsid w:val="00DC2B46"/>
    <w:rsid w:val="00DC5941"/>
    <w:rsid w:val="00DD2D0C"/>
    <w:rsid w:val="00DD4071"/>
    <w:rsid w:val="00DD457C"/>
    <w:rsid w:val="00DD4CB2"/>
    <w:rsid w:val="00DD4F79"/>
    <w:rsid w:val="00DE14BE"/>
    <w:rsid w:val="00DE425C"/>
    <w:rsid w:val="00DE4EED"/>
    <w:rsid w:val="00DF179C"/>
    <w:rsid w:val="00DF5830"/>
    <w:rsid w:val="00DF767A"/>
    <w:rsid w:val="00E030A0"/>
    <w:rsid w:val="00E03153"/>
    <w:rsid w:val="00E068E4"/>
    <w:rsid w:val="00E06B88"/>
    <w:rsid w:val="00E07EDA"/>
    <w:rsid w:val="00E108FA"/>
    <w:rsid w:val="00E11DCA"/>
    <w:rsid w:val="00E11DEE"/>
    <w:rsid w:val="00E1262B"/>
    <w:rsid w:val="00E1399C"/>
    <w:rsid w:val="00E149C4"/>
    <w:rsid w:val="00E1760B"/>
    <w:rsid w:val="00E2154D"/>
    <w:rsid w:val="00E2689E"/>
    <w:rsid w:val="00E30A37"/>
    <w:rsid w:val="00E30D09"/>
    <w:rsid w:val="00E3112F"/>
    <w:rsid w:val="00E31288"/>
    <w:rsid w:val="00E32029"/>
    <w:rsid w:val="00E324A9"/>
    <w:rsid w:val="00E3410E"/>
    <w:rsid w:val="00E3684F"/>
    <w:rsid w:val="00E36B12"/>
    <w:rsid w:val="00E371C7"/>
    <w:rsid w:val="00E3732D"/>
    <w:rsid w:val="00E41DAE"/>
    <w:rsid w:val="00E4306B"/>
    <w:rsid w:val="00E453AF"/>
    <w:rsid w:val="00E47B06"/>
    <w:rsid w:val="00E500FA"/>
    <w:rsid w:val="00E50772"/>
    <w:rsid w:val="00E543D1"/>
    <w:rsid w:val="00E55476"/>
    <w:rsid w:val="00E5580B"/>
    <w:rsid w:val="00E57BCF"/>
    <w:rsid w:val="00E57E25"/>
    <w:rsid w:val="00E62C89"/>
    <w:rsid w:val="00E62E26"/>
    <w:rsid w:val="00E63D3B"/>
    <w:rsid w:val="00E64388"/>
    <w:rsid w:val="00E64898"/>
    <w:rsid w:val="00E667DE"/>
    <w:rsid w:val="00E66A39"/>
    <w:rsid w:val="00E7066B"/>
    <w:rsid w:val="00E70CF0"/>
    <w:rsid w:val="00E71335"/>
    <w:rsid w:val="00E74F99"/>
    <w:rsid w:val="00E8098B"/>
    <w:rsid w:val="00E80AC0"/>
    <w:rsid w:val="00E828D1"/>
    <w:rsid w:val="00E82B12"/>
    <w:rsid w:val="00E83DC3"/>
    <w:rsid w:val="00E85B07"/>
    <w:rsid w:val="00E9200D"/>
    <w:rsid w:val="00E93414"/>
    <w:rsid w:val="00E94225"/>
    <w:rsid w:val="00E95274"/>
    <w:rsid w:val="00E96FC7"/>
    <w:rsid w:val="00E972E5"/>
    <w:rsid w:val="00EA12FC"/>
    <w:rsid w:val="00EA5BE6"/>
    <w:rsid w:val="00EA7837"/>
    <w:rsid w:val="00EA7EDD"/>
    <w:rsid w:val="00EB08B2"/>
    <w:rsid w:val="00EB15DB"/>
    <w:rsid w:val="00EB2216"/>
    <w:rsid w:val="00EB3FD8"/>
    <w:rsid w:val="00EB76D5"/>
    <w:rsid w:val="00EC033D"/>
    <w:rsid w:val="00EC0EFF"/>
    <w:rsid w:val="00EC5781"/>
    <w:rsid w:val="00EC66B7"/>
    <w:rsid w:val="00EC6D3F"/>
    <w:rsid w:val="00EC7102"/>
    <w:rsid w:val="00EC7856"/>
    <w:rsid w:val="00ED1AB0"/>
    <w:rsid w:val="00ED1AE5"/>
    <w:rsid w:val="00ED5EA4"/>
    <w:rsid w:val="00ED6FCF"/>
    <w:rsid w:val="00ED7283"/>
    <w:rsid w:val="00EE054A"/>
    <w:rsid w:val="00EE17EB"/>
    <w:rsid w:val="00EE25E8"/>
    <w:rsid w:val="00EE42E6"/>
    <w:rsid w:val="00EE745D"/>
    <w:rsid w:val="00EF52AA"/>
    <w:rsid w:val="00EF6D10"/>
    <w:rsid w:val="00F00AF7"/>
    <w:rsid w:val="00F0356A"/>
    <w:rsid w:val="00F04115"/>
    <w:rsid w:val="00F10DBA"/>
    <w:rsid w:val="00F11C4B"/>
    <w:rsid w:val="00F127E6"/>
    <w:rsid w:val="00F13DA4"/>
    <w:rsid w:val="00F14CC3"/>
    <w:rsid w:val="00F1555A"/>
    <w:rsid w:val="00F17E96"/>
    <w:rsid w:val="00F217FE"/>
    <w:rsid w:val="00F21ACB"/>
    <w:rsid w:val="00F22F3C"/>
    <w:rsid w:val="00F24E6E"/>
    <w:rsid w:val="00F334AE"/>
    <w:rsid w:val="00F34F7A"/>
    <w:rsid w:val="00F37A64"/>
    <w:rsid w:val="00F41823"/>
    <w:rsid w:val="00F420B5"/>
    <w:rsid w:val="00F4360C"/>
    <w:rsid w:val="00F43C34"/>
    <w:rsid w:val="00F444E0"/>
    <w:rsid w:val="00F47055"/>
    <w:rsid w:val="00F501E2"/>
    <w:rsid w:val="00F527EF"/>
    <w:rsid w:val="00F61ADA"/>
    <w:rsid w:val="00F63D4E"/>
    <w:rsid w:val="00F70559"/>
    <w:rsid w:val="00F7498C"/>
    <w:rsid w:val="00F75351"/>
    <w:rsid w:val="00F753E1"/>
    <w:rsid w:val="00F81C43"/>
    <w:rsid w:val="00F8279B"/>
    <w:rsid w:val="00F86C66"/>
    <w:rsid w:val="00F91510"/>
    <w:rsid w:val="00F93B6D"/>
    <w:rsid w:val="00F9438B"/>
    <w:rsid w:val="00F94EB6"/>
    <w:rsid w:val="00F94EE9"/>
    <w:rsid w:val="00F95336"/>
    <w:rsid w:val="00F96221"/>
    <w:rsid w:val="00F97023"/>
    <w:rsid w:val="00F97440"/>
    <w:rsid w:val="00FA19CA"/>
    <w:rsid w:val="00FA1CF6"/>
    <w:rsid w:val="00FA5B57"/>
    <w:rsid w:val="00FA60BA"/>
    <w:rsid w:val="00FA679F"/>
    <w:rsid w:val="00FA788E"/>
    <w:rsid w:val="00FB19BF"/>
    <w:rsid w:val="00FB24D2"/>
    <w:rsid w:val="00FB2AFE"/>
    <w:rsid w:val="00FB4AF6"/>
    <w:rsid w:val="00FB550B"/>
    <w:rsid w:val="00FB7BAF"/>
    <w:rsid w:val="00FC1542"/>
    <w:rsid w:val="00FC6B41"/>
    <w:rsid w:val="00FD191F"/>
    <w:rsid w:val="00FD3164"/>
    <w:rsid w:val="00FD4AE2"/>
    <w:rsid w:val="00FD5CB8"/>
    <w:rsid w:val="00FD691F"/>
    <w:rsid w:val="00FD7BD5"/>
    <w:rsid w:val="00FE35E4"/>
    <w:rsid w:val="00FE3916"/>
    <w:rsid w:val="00FE3E30"/>
    <w:rsid w:val="00FE4E23"/>
    <w:rsid w:val="00FE7201"/>
    <w:rsid w:val="00FE7F9B"/>
    <w:rsid w:val="00FF3194"/>
    <w:rsid w:val="00FF4E20"/>
    <w:rsid w:val="00FF50C2"/>
    <w:rsid w:val="00FF5A49"/>
    <w:rsid w:val="00FF6865"/>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2513"/>
    <o:shapelayout v:ext="edit">
      <o:idmap v:ext="edit" data="1"/>
    </o:shapelayout>
  </w:shapeDefaults>
  <w:decimalSymbol w:val="."/>
  <w:listSeparator w:val=","/>
  <w14:docId w14:val="7BC36928"/>
  <w15:docId w15:val="{9B02FFE8-400C-4D34-86B5-CA44EF6DF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3E57"/>
    <w:pPr>
      <w:spacing w:before="120"/>
      <w:jc w:val="both"/>
    </w:pPr>
    <w:rPr>
      <w:sz w:val="24"/>
      <w:lang w:eastAsia="en-US"/>
    </w:rPr>
  </w:style>
  <w:style w:type="paragraph" w:styleId="Heading1">
    <w:name w:val="heading 1"/>
    <w:basedOn w:val="Normal"/>
    <w:next w:val="Normal"/>
    <w:link w:val="Heading1Char"/>
    <w:qFormat/>
    <w:rsid w:val="00233E57"/>
    <w:pPr>
      <w:keepNext/>
      <w:spacing w:before="160" w:after="120"/>
      <w:outlineLvl w:val="0"/>
    </w:pPr>
    <w:rPr>
      <w:rFonts w:ascii="Arial" w:hAnsi="Arial" w:cs="Arial"/>
      <w:b/>
      <w:bCs/>
      <w:kern w:val="28"/>
      <w:szCs w:val="24"/>
    </w:rPr>
  </w:style>
  <w:style w:type="paragraph" w:styleId="Heading2">
    <w:name w:val="heading 2"/>
    <w:basedOn w:val="Heading1"/>
    <w:next w:val="Normal"/>
    <w:link w:val="Heading2Char"/>
    <w:qFormat/>
    <w:rsid w:val="00233E57"/>
    <w:pPr>
      <w:outlineLvl w:val="1"/>
    </w:pPr>
    <w:rPr>
      <w:color w:val="31849B" w:themeColor="accent5" w:themeShade="BF"/>
    </w:rPr>
  </w:style>
  <w:style w:type="paragraph" w:styleId="Heading3">
    <w:name w:val="heading 3"/>
    <w:basedOn w:val="Normal"/>
    <w:next w:val="Normal"/>
    <w:qFormat/>
    <w:rsid w:val="00233E57"/>
    <w:pPr>
      <w:keepNext/>
      <w:spacing w:before="240" w:after="60"/>
      <w:outlineLvl w:val="2"/>
    </w:pPr>
    <w:rPr>
      <w:rFonts w:ascii="Arial" w:hAnsi="Arial" w:cs="Arial"/>
      <w:bCs/>
      <w:szCs w:val="26"/>
    </w:rPr>
  </w:style>
  <w:style w:type="paragraph" w:styleId="Heading4">
    <w:name w:val="heading 4"/>
    <w:basedOn w:val="Normal"/>
    <w:next w:val="Normal"/>
    <w:qFormat/>
    <w:rsid w:val="00233E57"/>
    <w:pPr>
      <w:keepNext/>
      <w:spacing w:before="240" w:after="60"/>
      <w:outlineLvl w:val="3"/>
    </w:pPr>
    <w:rPr>
      <w:rFonts w:ascii="Arial" w:hAnsi="Arial"/>
      <w:bCs/>
      <w:sz w:val="28"/>
      <w:szCs w:val="28"/>
    </w:rPr>
  </w:style>
  <w:style w:type="paragraph" w:styleId="Heading5">
    <w:name w:val="heading 5"/>
    <w:basedOn w:val="Normal"/>
    <w:next w:val="Normal"/>
    <w:qFormat/>
    <w:rsid w:val="00233E57"/>
    <w:pPr>
      <w:keepNext/>
      <w:spacing w:before="240" w:after="60"/>
      <w:outlineLvl w:val="4"/>
    </w:pPr>
    <w:rPr>
      <w:b/>
      <w:bCs/>
      <w:iCs/>
      <w:szCs w:val="26"/>
    </w:rPr>
  </w:style>
  <w:style w:type="paragraph" w:styleId="Heading6">
    <w:name w:val="heading 6"/>
    <w:basedOn w:val="Normal"/>
    <w:next w:val="Normal"/>
    <w:qFormat/>
    <w:rsid w:val="00233E57"/>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233E57"/>
    <w:rPr>
      <w:b/>
      <w:noProof/>
      <w:color w:val="31849B" w:themeColor="accent5" w:themeShade="BF"/>
      <w:sz w:val="62"/>
      <w:szCs w:val="62"/>
      <w:lang w:eastAsia="en-AU"/>
      <w14:textOutline w14:w="5080" w14:cap="flat" w14:cmpd="sng" w14:algn="ctr">
        <w14:noFill/>
        <w14:prstDash w14:val="solid"/>
        <w14:round/>
      </w14:textOutline>
    </w:rPr>
  </w:style>
  <w:style w:type="character" w:styleId="Strong">
    <w:name w:val="Strong"/>
    <w:basedOn w:val="DefaultParagraphFont"/>
    <w:qFormat/>
    <w:rsid w:val="00233E57"/>
    <w:rPr>
      <w:b/>
      <w:bCs/>
    </w:rPr>
  </w:style>
  <w:style w:type="paragraph" w:styleId="Subtitle">
    <w:name w:val="Subtitle"/>
    <w:aliases w:val="AH Subtitle"/>
    <w:basedOn w:val="Normal"/>
    <w:next w:val="Normal"/>
    <w:link w:val="SubtitleChar"/>
    <w:qFormat/>
    <w:rsid w:val="00233E57"/>
    <w:pPr>
      <w:jc w:val="center"/>
    </w:pPr>
    <w:rPr>
      <w:rFonts w:eastAsiaTheme="majorEastAsia" w:cstheme="majorBidi"/>
      <w:b/>
      <w:color w:val="FFFFFF" w:themeColor="background1"/>
      <w:sz w:val="18"/>
      <w:szCs w:val="18"/>
    </w:rPr>
  </w:style>
  <w:style w:type="character" w:customStyle="1" w:styleId="SubtitleChar">
    <w:name w:val="Subtitle Char"/>
    <w:aliases w:val="AH Subtitle Char"/>
    <w:basedOn w:val="DefaultParagraphFont"/>
    <w:link w:val="Subtitle"/>
    <w:rsid w:val="00233E57"/>
    <w:rPr>
      <w:rFonts w:eastAsiaTheme="majorEastAsia" w:cstheme="majorBidi"/>
      <w:b/>
      <w:color w:val="FFFFFF" w:themeColor="background1"/>
      <w:sz w:val="18"/>
      <w:szCs w:val="18"/>
      <w:lang w:eastAsia="en-US"/>
    </w:rPr>
  </w:style>
  <w:style w:type="paragraph" w:styleId="Title">
    <w:name w:val="Title"/>
    <w:basedOn w:val="Normal"/>
    <w:next w:val="Normal"/>
    <w:link w:val="TitleChar"/>
    <w:qFormat/>
    <w:rsid w:val="00233E57"/>
    <w:pPr>
      <w:spacing w:after="60"/>
    </w:pPr>
    <w:rPr>
      <w:rFonts w:eastAsiaTheme="majorEastAsia" w:cstheme="majorBidi"/>
      <w:b/>
      <w:color w:val="31849B" w:themeColor="accent5" w:themeShade="BF"/>
      <w:sz w:val="20"/>
    </w:rPr>
  </w:style>
  <w:style w:type="character" w:customStyle="1" w:styleId="TitleChar">
    <w:name w:val="Title Char"/>
    <w:basedOn w:val="DefaultParagraphFont"/>
    <w:link w:val="Title"/>
    <w:rsid w:val="00233E57"/>
    <w:rPr>
      <w:rFonts w:eastAsiaTheme="majorEastAsia" w:cstheme="majorBidi"/>
      <w:b/>
      <w:color w:val="31849B" w:themeColor="accent5" w:themeShade="BF"/>
      <w:lang w:eastAsia="en-US"/>
    </w:rPr>
  </w:style>
  <w:style w:type="paragraph" w:styleId="NoSpacing">
    <w:name w:val="No Spacing"/>
    <w:link w:val="NoSpacingChar"/>
    <w:uiPriority w:val="1"/>
    <w:qFormat/>
    <w:rsid w:val="00233E57"/>
    <w:pPr>
      <w:jc w:val="center"/>
    </w:pPr>
    <w:rPr>
      <w:sz w:val="18"/>
      <w:szCs w:val="18"/>
      <w:lang w:eastAsia="en-US"/>
    </w:rPr>
  </w:style>
  <w:style w:type="character" w:styleId="SubtleEmphasis">
    <w:name w:val="Subtle Emphasis"/>
    <w:basedOn w:val="DefaultParagraphFont"/>
    <w:uiPriority w:val="19"/>
    <w:qFormat/>
    <w:rsid w:val="00233E57"/>
    <w:rPr>
      <w:i/>
      <w:iCs/>
      <w:color w:val="808080" w:themeColor="text1" w:themeTint="7F"/>
    </w:rPr>
  </w:style>
  <w:style w:type="character" w:styleId="IntenseEmphasis">
    <w:name w:val="Intense Emphasis"/>
    <w:basedOn w:val="DefaultParagraphFont"/>
    <w:uiPriority w:val="21"/>
    <w:qFormat/>
    <w:rsid w:val="00233E57"/>
    <w:rPr>
      <w:b/>
      <w:bCs/>
      <w:i/>
      <w:iCs/>
      <w:color w:val="4F81BD" w:themeColor="accent1"/>
    </w:rPr>
  </w:style>
  <w:style w:type="paragraph" w:styleId="Quote">
    <w:name w:val="Quote"/>
    <w:basedOn w:val="Normal"/>
    <w:next w:val="Normal"/>
    <w:link w:val="QuoteChar"/>
    <w:uiPriority w:val="29"/>
    <w:qFormat/>
    <w:rsid w:val="00233E57"/>
    <w:pPr>
      <w:widowControl w:val="0"/>
      <w:shd w:val="clear" w:color="auto" w:fill="DAEEF3" w:themeFill="accent5" w:themeFillTint="33"/>
      <w:tabs>
        <w:tab w:val="left" w:pos="3828"/>
      </w:tabs>
      <w:spacing w:after="120"/>
      <w:ind w:right="-85"/>
    </w:pPr>
    <w:rPr>
      <w:i/>
      <w:sz w:val="20"/>
    </w:rPr>
  </w:style>
  <w:style w:type="character" w:customStyle="1" w:styleId="QuoteChar">
    <w:name w:val="Quote Char"/>
    <w:basedOn w:val="DefaultParagraphFont"/>
    <w:link w:val="Quote"/>
    <w:uiPriority w:val="29"/>
    <w:rsid w:val="00233E57"/>
    <w:rPr>
      <w:i/>
      <w:shd w:val="clear" w:color="auto" w:fill="DAEEF3" w:themeFill="accent5" w:themeFillTint="33"/>
      <w:lang w:eastAsia="en-US"/>
    </w:rPr>
  </w:style>
  <w:style w:type="paragraph" w:styleId="IntenseQuote">
    <w:name w:val="Intense Quote"/>
    <w:basedOn w:val="Normal"/>
    <w:next w:val="Normal"/>
    <w:link w:val="IntenseQuoteChar"/>
    <w:uiPriority w:val="30"/>
    <w:qFormat/>
    <w:rsid w:val="00233E57"/>
    <w:pPr>
      <w:widowControl w:val="0"/>
      <w:spacing w:before="60"/>
    </w:pPr>
    <w:rPr>
      <w:sz w:val="16"/>
      <w:szCs w:val="16"/>
    </w:rPr>
  </w:style>
  <w:style w:type="character" w:customStyle="1" w:styleId="IntenseQuoteChar">
    <w:name w:val="Intense Quote Char"/>
    <w:basedOn w:val="DefaultParagraphFont"/>
    <w:link w:val="IntenseQuote"/>
    <w:uiPriority w:val="30"/>
    <w:rsid w:val="00233E57"/>
    <w:rPr>
      <w:sz w:val="16"/>
      <w:szCs w:val="16"/>
      <w:lang w:eastAsia="en-US"/>
    </w:rPr>
  </w:style>
  <w:style w:type="character" w:styleId="SubtleReference">
    <w:name w:val="Subtle Reference"/>
    <w:basedOn w:val="DefaultParagraphFont"/>
    <w:uiPriority w:val="31"/>
    <w:qFormat/>
    <w:rsid w:val="00233E57"/>
    <w:rPr>
      <w:smallCaps/>
      <w:color w:val="C0504D" w:themeColor="accent2"/>
      <w:u w:val="single"/>
    </w:rPr>
  </w:style>
  <w:style w:type="character" w:styleId="IntenseReference">
    <w:name w:val="Intense Reference"/>
    <w:basedOn w:val="DefaultParagraphFont"/>
    <w:uiPriority w:val="32"/>
    <w:qFormat/>
    <w:rsid w:val="00233E57"/>
    <w:rPr>
      <w:b/>
      <w:bCs/>
      <w:i/>
      <w:smallCaps/>
      <w:color w:val="C0504D" w:themeColor="accent2"/>
      <w:spacing w:val="5"/>
      <w:u w:val="none"/>
    </w:rPr>
  </w:style>
  <w:style w:type="character" w:styleId="BookTitle">
    <w:name w:val="Book Title"/>
    <w:basedOn w:val="DefaultParagraphFont"/>
    <w:uiPriority w:val="33"/>
    <w:qFormat/>
    <w:rsid w:val="00233E57"/>
    <w:rPr>
      <w:b/>
      <w:bCs/>
      <w:smallCaps/>
      <w:spacing w:val="5"/>
    </w:rPr>
  </w:style>
  <w:style w:type="paragraph" w:styleId="ListParagraph">
    <w:name w:val="List Paragraph"/>
    <w:basedOn w:val="Normal"/>
    <w:link w:val="ListParagraphChar"/>
    <w:uiPriority w:val="34"/>
    <w:qFormat/>
    <w:rsid w:val="00233E57"/>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BodyText">
    <w:name w:val="Body Text"/>
    <w:basedOn w:val="Normal"/>
    <w:link w:val="BodyTextChar"/>
    <w:rsid w:val="00B62D90"/>
    <w:pPr>
      <w:spacing w:after="120"/>
    </w:pPr>
  </w:style>
  <w:style w:type="character" w:customStyle="1" w:styleId="BodyTextChar">
    <w:name w:val="Body Text Char"/>
    <w:basedOn w:val="DefaultParagraphFont"/>
    <w:link w:val="BodyText"/>
    <w:rsid w:val="00B62D90"/>
    <w:rPr>
      <w:sz w:val="24"/>
      <w:szCs w:val="24"/>
      <w:lang w:eastAsia="en-US"/>
    </w:rPr>
  </w:style>
  <w:style w:type="character" w:styleId="CommentReference">
    <w:name w:val="annotation reference"/>
    <w:basedOn w:val="DefaultParagraphFont"/>
    <w:rsid w:val="0026217D"/>
    <w:rPr>
      <w:sz w:val="16"/>
      <w:szCs w:val="16"/>
    </w:rPr>
  </w:style>
  <w:style w:type="paragraph" w:styleId="CommentText">
    <w:name w:val="annotation text"/>
    <w:basedOn w:val="Normal"/>
    <w:link w:val="CommentTextChar"/>
    <w:rsid w:val="0026217D"/>
    <w:rPr>
      <w:sz w:val="20"/>
    </w:rPr>
  </w:style>
  <w:style w:type="character" w:customStyle="1" w:styleId="CommentTextChar">
    <w:name w:val="Comment Text Char"/>
    <w:basedOn w:val="DefaultParagraphFont"/>
    <w:link w:val="CommentText"/>
    <w:rsid w:val="0026217D"/>
    <w:rPr>
      <w:lang w:eastAsia="en-US"/>
    </w:rPr>
  </w:style>
  <w:style w:type="paragraph" w:styleId="CommentSubject">
    <w:name w:val="annotation subject"/>
    <w:basedOn w:val="CommentText"/>
    <w:next w:val="CommentText"/>
    <w:link w:val="CommentSubjectChar"/>
    <w:rsid w:val="0026217D"/>
    <w:rPr>
      <w:b/>
      <w:bCs/>
    </w:rPr>
  </w:style>
  <w:style w:type="character" w:customStyle="1" w:styleId="CommentSubjectChar">
    <w:name w:val="Comment Subject Char"/>
    <w:basedOn w:val="CommentTextChar"/>
    <w:link w:val="CommentSubject"/>
    <w:rsid w:val="0026217D"/>
    <w:rPr>
      <w:b/>
      <w:bCs/>
      <w:lang w:eastAsia="en-US"/>
    </w:rPr>
  </w:style>
  <w:style w:type="character" w:customStyle="1" w:styleId="Heading1Char">
    <w:name w:val="Heading 1 Char"/>
    <w:basedOn w:val="DefaultParagraphFont"/>
    <w:link w:val="Heading1"/>
    <w:rsid w:val="00233E57"/>
    <w:rPr>
      <w:rFonts w:ascii="Arial" w:hAnsi="Arial" w:cs="Arial"/>
      <w:b/>
      <w:bCs/>
      <w:kern w:val="28"/>
      <w:sz w:val="24"/>
      <w:szCs w:val="24"/>
      <w:lang w:eastAsia="en-US"/>
    </w:rPr>
  </w:style>
  <w:style w:type="paragraph" w:customStyle="1" w:styleId="AHTablefirstcolumn">
    <w:name w:val="AH Table first column"/>
    <w:basedOn w:val="NoSpacing"/>
    <w:link w:val="AHTablefirstcolumnChar"/>
    <w:qFormat/>
    <w:rsid w:val="00233E57"/>
    <w:pPr>
      <w:jc w:val="left"/>
    </w:pPr>
  </w:style>
  <w:style w:type="character" w:customStyle="1" w:styleId="AHTablefirstcolumnChar">
    <w:name w:val="AH Table first column Char"/>
    <w:basedOn w:val="NoSpacingChar"/>
    <w:link w:val="AHTablefirstcolumn"/>
    <w:rsid w:val="00233E57"/>
    <w:rPr>
      <w:sz w:val="18"/>
      <w:szCs w:val="18"/>
      <w:lang w:eastAsia="en-US"/>
    </w:rPr>
  </w:style>
  <w:style w:type="paragraph" w:customStyle="1" w:styleId="AHTablefirstcolumnheading">
    <w:name w:val="AH Table first column heading"/>
    <w:basedOn w:val="Subtitle"/>
    <w:link w:val="AHTablefirstcolumnheadingChar"/>
    <w:qFormat/>
    <w:rsid w:val="00233E57"/>
    <w:pPr>
      <w:spacing w:before="0"/>
      <w:jc w:val="left"/>
    </w:pPr>
  </w:style>
  <w:style w:type="character" w:customStyle="1" w:styleId="AHTablefirstcolumnheadingChar">
    <w:name w:val="AH Table first column heading Char"/>
    <w:basedOn w:val="SubtitleChar"/>
    <w:link w:val="AHTablefirstcolumnheading"/>
    <w:rsid w:val="00233E57"/>
    <w:rPr>
      <w:rFonts w:eastAsiaTheme="majorEastAsia" w:cstheme="majorBidi"/>
      <w:b/>
      <w:color w:val="FFFFFF" w:themeColor="background1"/>
      <w:sz w:val="18"/>
      <w:szCs w:val="18"/>
      <w:lang w:eastAsia="en-US"/>
    </w:rPr>
  </w:style>
  <w:style w:type="paragraph" w:customStyle="1" w:styleId="Tablerows">
    <w:name w:val="Table rows"/>
    <w:basedOn w:val="NoSpacing"/>
    <w:link w:val="TablerowsChar"/>
    <w:qFormat/>
    <w:rsid w:val="00233E57"/>
  </w:style>
  <w:style w:type="character" w:customStyle="1" w:styleId="TablerowsChar">
    <w:name w:val="Table rows Char"/>
    <w:basedOn w:val="NoSpacingChar"/>
    <w:link w:val="Tablerows"/>
    <w:rsid w:val="00233E57"/>
    <w:rPr>
      <w:sz w:val="18"/>
      <w:szCs w:val="18"/>
      <w:lang w:eastAsia="en-US"/>
    </w:rPr>
  </w:style>
  <w:style w:type="paragraph" w:customStyle="1" w:styleId="AHTableheadings">
    <w:name w:val="AH Table headings"/>
    <w:basedOn w:val="Subtitle"/>
    <w:link w:val="AHTableheadingsChar"/>
    <w:qFormat/>
    <w:rsid w:val="00233E57"/>
  </w:style>
  <w:style w:type="character" w:customStyle="1" w:styleId="AHTableheadingsChar">
    <w:name w:val="AH Table headings Char"/>
    <w:basedOn w:val="SubtitleChar"/>
    <w:link w:val="AHTableheadings"/>
    <w:rsid w:val="00233E57"/>
    <w:rPr>
      <w:rFonts w:eastAsiaTheme="majorEastAsia" w:cstheme="majorBidi"/>
      <w:b/>
      <w:color w:val="FFFFFF" w:themeColor="background1"/>
      <w:sz w:val="18"/>
      <w:szCs w:val="18"/>
      <w:lang w:eastAsia="en-US"/>
    </w:rPr>
  </w:style>
  <w:style w:type="paragraph" w:customStyle="1" w:styleId="AHDocTitle">
    <w:name w:val="AH Doc Title"/>
    <w:basedOn w:val="Normal"/>
    <w:link w:val="AHDocTitleChar"/>
    <w:qFormat/>
    <w:rsid w:val="00233E57"/>
  </w:style>
  <w:style w:type="character" w:customStyle="1" w:styleId="AHDocTitleChar">
    <w:name w:val="AH Doc Title Char"/>
    <w:basedOn w:val="DefaultParagraphFont"/>
    <w:link w:val="AHDocTitle"/>
    <w:rsid w:val="00233E57"/>
    <w:rPr>
      <w:sz w:val="24"/>
      <w:lang w:eastAsia="en-US"/>
    </w:rPr>
  </w:style>
  <w:style w:type="paragraph" w:customStyle="1" w:styleId="AHBlackTitle">
    <w:name w:val="AH Black Title"/>
    <w:basedOn w:val="Heading1"/>
    <w:link w:val="AHBlackTitleChar"/>
    <w:qFormat/>
    <w:rsid w:val="00233E57"/>
  </w:style>
  <w:style w:type="character" w:customStyle="1" w:styleId="AHBlackTitleChar">
    <w:name w:val="AH Black Title Char"/>
    <w:basedOn w:val="Heading1Char"/>
    <w:link w:val="AHBlackTitle"/>
    <w:rsid w:val="00233E57"/>
    <w:rPr>
      <w:rFonts w:ascii="Arial" w:hAnsi="Arial" w:cs="Arial"/>
      <w:b/>
      <w:bCs/>
      <w:kern w:val="28"/>
      <w:sz w:val="24"/>
      <w:szCs w:val="24"/>
      <w:lang w:eastAsia="en-US"/>
    </w:rPr>
  </w:style>
  <w:style w:type="paragraph" w:customStyle="1" w:styleId="AHBlueSubtitle">
    <w:name w:val="AH Blue Subtitle"/>
    <w:basedOn w:val="Heading2"/>
    <w:link w:val="AHBlueSubtitleChar"/>
    <w:qFormat/>
    <w:rsid w:val="00233E57"/>
    <w:pPr>
      <w:jc w:val="left"/>
    </w:pPr>
  </w:style>
  <w:style w:type="character" w:customStyle="1" w:styleId="AHBlueSubtitleChar">
    <w:name w:val="AH Blue Subtitle Char"/>
    <w:basedOn w:val="Heading2Char"/>
    <w:link w:val="AHBlueSubtitle"/>
    <w:rsid w:val="00233E57"/>
    <w:rPr>
      <w:rFonts w:ascii="Arial" w:hAnsi="Arial" w:cs="Arial"/>
      <w:b/>
      <w:bCs/>
      <w:color w:val="31849B" w:themeColor="accent5" w:themeShade="BF"/>
      <w:kern w:val="28"/>
      <w:sz w:val="24"/>
      <w:szCs w:val="24"/>
      <w:lang w:eastAsia="en-US"/>
    </w:rPr>
  </w:style>
  <w:style w:type="paragraph" w:customStyle="1" w:styleId="AHTabletitle">
    <w:name w:val="AH Table title"/>
    <w:basedOn w:val="Title"/>
    <w:link w:val="AHTabletitleChar"/>
    <w:qFormat/>
    <w:rsid w:val="00233E57"/>
    <w:pPr>
      <w:jc w:val="left"/>
    </w:pPr>
  </w:style>
  <w:style w:type="character" w:customStyle="1" w:styleId="AHTabletitleChar">
    <w:name w:val="AH Table title Char"/>
    <w:basedOn w:val="TitleChar"/>
    <w:link w:val="AHTabletitle"/>
    <w:rsid w:val="00233E57"/>
    <w:rPr>
      <w:rFonts w:eastAsiaTheme="majorEastAsia" w:cstheme="majorBidi"/>
      <w:b/>
      <w:color w:val="31849B" w:themeColor="accent5" w:themeShade="BF"/>
      <w:lang w:eastAsia="en-US"/>
    </w:rPr>
  </w:style>
  <w:style w:type="paragraph" w:customStyle="1" w:styleId="AHnote">
    <w:name w:val="AH note"/>
    <w:basedOn w:val="Quote"/>
    <w:link w:val="AHnoteChar"/>
    <w:qFormat/>
    <w:rsid w:val="00233E57"/>
    <w:pPr>
      <w:shd w:val="clear" w:color="auto" w:fill="auto"/>
    </w:pPr>
    <w:rPr>
      <w:i w:val="0"/>
      <w:sz w:val="18"/>
      <w:szCs w:val="18"/>
    </w:rPr>
  </w:style>
  <w:style w:type="character" w:customStyle="1" w:styleId="AHnoteChar">
    <w:name w:val="AH note Char"/>
    <w:basedOn w:val="QuoteChar"/>
    <w:link w:val="AHnote"/>
    <w:rsid w:val="00233E57"/>
    <w:rPr>
      <w:i w:val="0"/>
      <w:sz w:val="18"/>
      <w:szCs w:val="18"/>
      <w:shd w:val="clear" w:color="auto" w:fill="DAEEF3" w:themeFill="accent5" w:themeFillTint="33"/>
      <w:lang w:eastAsia="en-US"/>
    </w:rPr>
  </w:style>
  <w:style w:type="paragraph" w:customStyle="1" w:styleId="AHfootnote">
    <w:name w:val="AH footnote"/>
    <w:basedOn w:val="IntenseQuote"/>
    <w:link w:val="AHfootnoteChar"/>
    <w:qFormat/>
    <w:rsid w:val="00233E57"/>
    <w:pPr>
      <w:jc w:val="left"/>
    </w:pPr>
  </w:style>
  <w:style w:type="character" w:customStyle="1" w:styleId="AHfootnoteChar">
    <w:name w:val="AH footnote Char"/>
    <w:basedOn w:val="IntenseQuoteChar"/>
    <w:link w:val="AHfootnote"/>
    <w:rsid w:val="00233E57"/>
    <w:rPr>
      <w:sz w:val="16"/>
      <w:szCs w:val="16"/>
      <w:lang w:eastAsia="en-US"/>
    </w:rPr>
  </w:style>
  <w:style w:type="paragraph" w:customStyle="1" w:styleId="AHparagraph">
    <w:name w:val="AH paragraph"/>
    <w:basedOn w:val="Normal"/>
    <w:link w:val="AHparagraphChar"/>
    <w:qFormat/>
    <w:rsid w:val="00233E57"/>
  </w:style>
  <w:style w:type="character" w:customStyle="1" w:styleId="AHparagraphChar">
    <w:name w:val="AH paragraph Char"/>
    <w:basedOn w:val="DefaultParagraphFont"/>
    <w:link w:val="AHparagraph"/>
    <w:rsid w:val="00233E57"/>
    <w:rPr>
      <w:sz w:val="24"/>
      <w:lang w:eastAsia="en-US"/>
    </w:rPr>
  </w:style>
  <w:style w:type="paragraph" w:customStyle="1" w:styleId="AHGraphtitle">
    <w:name w:val="AH Graph title"/>
    <w:basedOn w:val="AHTabletitle"/>
    <w:link w:val="AHGraphtitleChar"/>
    <w:qFormat/>
    <w:rsid w:val="00233E57"/>
    <w:pPr>
      <w:spacing w:after="0"/>
    </w:pPr>
  </w:style>
  <w:style w:type="character" w:customStyle="1" w:styleId="AHGraphtitleChar">
    <w:name w:val="AH Graph title Char"/>
    <w:basedOn w:val="AHTabletitleChar"/>
    <w:link w:val="AHGraphtitle"/>
    <w:rsid w:val="00233E57"/>
    <w:rPr>
      <w:rFonts w:eastAsiaTheme="majorEastAsia" w:cstheme="majorBidi"/>
      <w:b/>
      <w:color w:val="31849B" w:themeColor="accent5" w:themeShade="BF"/>
      <w:lang w:eastAsia="en-US"/>
    </w:rPr>
  </w:style>
  <w:style w:type="character" w:customStyle="1" w:styleId="Heading2Char">
    <w:name w:val="Heading 2 Char"/>
    <w:basedOn w:val="Heading1Char"/>
    <w:link w:val="Heading2"/>
    <w:rsid w:val="00233E57"/>
    <w:rPr>
      <w:rFonts w:ascii="Arial" w:hAnsi="Arial" w:cs="Arial"/>
      <w:b/>
      <w:bCs/>
      <w:color w:val="31849B" w:themeColor="accent5" w:themeShade="BF"/>
      <w:kern w:val="28"/>
      <w:sz w:val="24"/>
      <w:szCs w:val="24"/>
      <w:lang w:eastAsia="en-US"/>
    </w:rPr>
  </w:style>
  <w:style w:type="character" w:customStyle="1" w:styleId="NoSpacingChar">
    <w:name w:val="No Spacing Char"/>
    <w:basedOn w:val="DefaultParagraphFont"/>
    <w:link w:val="NoSpacing"/>
    <w:uiPriority w:val="1"/>
    <w:rsid w:val="00233E57"/>
    <w:rPr>
      <w:sz w:val="18"/>
      <w:szCs w:val="18"/>
      <w:lang w:eastAsia="en-US"/>
    </w:rPr>
  </w:style>
  <w:style w:type="paragraph" w:customStyle="1" w:styleId="AHReferences">
    <w:name w:val="AH References"/>
    <w:basedOn w:val="ListParagraph"/>
    <w:link w:val="AHReferencesChar"/>
    <w:qFormat/>
    <w:rsid w:val="00A1113D"/>
    <w:pPr>
      <w:numPr>
        <w:numId w:val="3"/>
      </w:numPr>
      <w:spacing w:before="40"/>
      <w:contextualSpacing w:val="0"/>
    </w:pPr>
    <w:rPr>
      <w:sz w:val="20"/>
    </w:rPr>
  </w:style>
  <w:style w:type="paragraph" w:customStyle="1" w:styleId="AHTableColumns">
    <w:name w:val="AH Table Columns"/>
    <w:basedOn w:val="AHTablefirstcolumn"/>
    <w:link w:val="AHTableColumnsChar"/>
    <w:qFormat/>
    <w:rsid w:val="00233E57"/>
    <w:pPr>
      <w:jc w:val="center"/>
    </w:pPr>
  </w:style>
  <w:style w:type="character" w:customStyle="1" w:styleId="ListParagraphChar">
    <w:name w:val="List Paragraph Char"/>
    <w:basedOn w:val="DefaultParagraphFont"/>
    <w:link w:val="ListParagraph"/>
    <w:uiPriority w:val="34"/>
    <w:rsid w:val="00233E57"/>
    <w:rPr>
      <w:sz w:val="24"/>
      <w:lang w:eastAsia="en-US"/>
    </w:rPr>
  </w:style>
  <w:style w:type="character" w:customStyle="1" w:styleId="AHReferencesChar">
    <w:name w:val="AH References Char"/>
    <w:basedOn w:val="ListParagraphChar"/>
    <w:link w:val="AHReferences"/>
    <w:rsid w:val="00A1113D"/>
    <w:rPr>
      <w:sz w:val="24"/>
      <w:lang w:eastAsia="en-US"/>
    </w:rPr>
  </w:style>
  <w:style w:type="character" w:customStyle="1" w:styleId="AHTableColumnsChar">
    <w:name w:val="AH Table Columns Char"/>
    <w:basedOn w:val="AHTablefirstcolumnChar"/>
    <w:link w:val="AHTableColumns"/>
    <w:rsid w:val="00233E57"/>
    <w:rPr>
      <w:sz w:val="18"/>
      <w:szCs w:val="18"/>
      <w:lang w:eastAsia="en-US"/>
    </w:rPr>
  </w:style>
  <w:style w:type="paragraph" w:customStyle="1" w:styleId="AHBlueItalic">
    <w:name w:val="AH Blue Italic"/>
    <w:basedOn w:val="AHBlueSubtitle"/>
    <w:link w:val="AHBlueItalicChar"/>
    <w:rsid w:val="001273C0"/>
    <w:rPr>
      <w:i/>
    </w:rPr>
  </w:style>
  <w:style w:type="character" w:customStyle="1" w:styleId="AHBlueItalicChar">
    <w:name w:val="AH Blue Italic Char"/>
    <w:basedOn w:val="AHBlueSubtitleChar"/>
    <w:link w:val="AHBlueItalic"/>
    <w:rsid w:val="001273C0"/>
    <w:rPr>
      <w:rFonts w:ascii="Arial" w:hAnsi="Arial" w:cs="Arial"/>
      <w:b/>
      <w:bCs/>
      <w:i/>
      <w:color w:val="31849B" w:themeColor="accent5" w:themeShade="BF"/>
      <w:kern w:val="28"/>
      <w:sz w:val="24"/>
      <w:szCs w:val="24"/>
      <w:lang w:eastAsia="en-US"/>
    </w:rPr>
  </w:style>
  <w:style w:type="paragraph" w:customStyle="1" w:styleId="AHBlueItalic0">
    <w:name w:val="AH BlueItalic"/>
    <w:basedOn w:val="AHparagraph"/>
    <w:link w:val="AHBlueItalicChar0"/>
    <w:rsid w:val="001273C0"/>
    <w:rPr>
      <w:rFonts w:ascii="Arial" w:hAnsi="Arial" w:cs="Arial"/>
      <w:b/>
      <w:i/>
      <w:color w:val="31849B" w:themeColor="accent5" w:themeShade="BF"/>
      <w:kern w:val="28"/>
      <w:szCs w:val="24"/>
    </w:rPr>
  </w:style>
  <w:style w:type="character" w:customStyle="1" w:styleId="AHBlueItalicChar0">
    <w:name w:val="AH BlueItalic Char"/>
    <w:basedOn w:val="AHBlueSubtitleChar"/>
    <w:link w:val="AHBlueItalic0"/>
    <w:rsid w:val="001273C0"/>
    <w:rPr>
      <w:rFonts w:ascii="Arial" w:hAnsi="Arial" w:cs="Arial"/>
      <w:b/>
      <w:bCs w:val="0"/>
      <w:i/>
      <w:color w:val="31849B" w:themeColor="accent5" w:themeShade="BF"/>
      <w:kern w:val="28"/>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 w:id="68236487">
      <w:bodyDiv w:val="1"/>
      <w:marLeft w:val="0"/>
      <w:marRight w:val="0"/>
      <w:marTop w:val="0"/>
      <w:marBottom w:val="0"/>
      <w:divBdr>
        <w:top w:val="none" w:sz="0" w:space="0" w:color="auto"/>
        <w:left w:val="none" w:sz="0" w:space="0" w:color="auto"/>
        <w:bottom w:val="none" w:sz="0" w:space="0" w:color="auto"/>
        <w:right w:val="none" w:sz="0" w:space="0" w:color="auto"/>
      </w:divBdr>
    </w:div>
    <w:div w:id="108202787">
      <w:bodyDiv w:val="1"/>
      <w:marLeft w:val="0"/>
      <w:marRight w:val="0"/>
      <w:marTop w:val="0"/>
      <w:marBottom w:val="0"/>
      <w:divBdr>
        <w:top w:val="none" w:sz="0" w:space="0" w:color="auto"/>
        <w:left w:val="none" w:sz="0" w:space="0" w:color="auto"/>
        <w:bottom w:val="none" w:sz="0" w:space="0" w:color="auto"/>
        <w:right w:val="none" w:sz="0" w:space="0" w:color="auto"/>
      </w:divBdr>
    </w:div>
    <w:div w:id="132018061">
      <w:bodyDiv w:val="1"/>
      <w:marLeft w:val="0"/>
      <w:marRight w:val="0"/>
      <w:marTop w:val="0"/>
      <w:marBottom w:val="0"/>
      <w:divBdr>
        <w:top w:val="none" w:sz="0" w:space="0" w:color="auto"/>
        <w:left w:val="none" w:sz="0" w:space="0" w:color="auto"/>
        <w:bottom w:val="none" w:sz="0" w:space="0" w:color="auto"/>
        <w:right w:val="none" w:sz="0" w:space="0" w:color="auto"/>
      </w:divBdr>
    </w:div>
    <w:div w:id="405227508">
      <w:bodyDiv w:val="1"/>
      <w:marLeft w:val="0"/>
      <w:marRight w:val="0"/>
      <w:marTop w:val="0"/>
      <w:marBottom w:val="0"/>
      <w:divBdr>
        <w:top w:val="none" w:sz="0" w:space="0" w:color="auto"/>
        <w:left w:val="none" w:sz="0" w:space="0" w:color="auto"/>
        <w:bottom w:val="none" w:sz="0" w:space="0" w:color="auto"/>
        <w:right w:val="none" w:sz="0" w:space="0" w:color="auto"/>
      </w:divBdr>
    </w:div>
    <w:div w:id="534738508">
      <w:bodyDiv w:val="1"/>
      <w:marLeft w:val="0"/>
      <w:marRight w:val="0"/>
      <w:marTop w:val="0"/>
      <w:marBottom w:val="0"/>
      <w:divBdr>
        <w:top w:val="none" w:sz="0" w:space="0" w:color="auto"/>
        <w:left w:val="none" w:sz="0" w:space="0" w:color="auto"/>
        <w:bottom w:val="none" w:sz="0" w:space="0" w:color="auto"/>
        <w:right w:val="none" w:sz="0" w:space="0" w:color="auto"/>
      </w:divBdr>
    </w:div>
    <w:div w:id="538133258">
      <w:bodyDiv w:val="1"/>
      <w:marLeft w:val="0"/>
      <w:marRight w:val="0"/>
      <w:marTop w:val="0"/>
      <w:marBottom w:val="0"/>
      <w:divBdr>
        <w:top w:val="none" w:sz="0" w:space="0" w:color="auto"/>
        <w:left w:val="none" w:sz="0" w:space="0" w:color="auto"/>
        <w:bottom w:val="none" w:sz="0" w:space="0" w:color="auto"/>
        <w:right w:val="none" w:sz="0" w:space="0" w:color="auto"/>
      </w:divBdr>
    </w:div>
    <w:div w:id="691031303">
      <w:bodyDiv w:val="1"/>
      <w:marLeft w:val="0"/>
      <w:marRight w:val="0"/>
      <w:marTop w:val="0"/>
      <w:marBottom w:val="0"/>
      <w:divBdr>
        <w:top w:val="none" w:sz="0" w:space="0" w:color="auto"/>
        <w:left w:val="none" w:sz="0" w:space="0" w:color="auto"/>
        <w:bottom w:val="none" w:sz="0" w:space="0" w:color="auto"/>
        <w:right w:val="none" w:sz="0" w:space="0" w:color="auto"/>
      </w:divBdr>
    </w:div>
    <w:div w:id="748383531">
      <w:bodyDiv w:val="1"/>
      <w:marLeft w:val="0"/>
      <w:marRight w:val="0"/>
      <w:marTop w:val="0"/>
      <w:marBottom w:val="0"/>
      <w:divBdr>
        <w:top w:val="none" w:sz="0" w:space="0" w:color="auto"/>
        <w:left w:val="none" w:sz="0" w:space="0" w:color="auto"/>
        <w:bottom w:val="none" w:sz="0" w:space="0" w:color="auto"/>
        <w:right w:val="none" w:sz="0" w:space="0" w:color="auto"/>
      </w:divBdr>
    </w:div>
    <w:div w:id="775566880">
      <w:bodyDiv w:val="1"/>
      <w:marLeft w:val="0"/>
      <w:marRight w:val="0"/>
      <w:marTop w:val="0"/>
      <w:marBottom w:val="0"/>
      <w:divBdr>
        <w:top w:val="none" w:sz="0" w:space="0" w:color="auto"/>
        <w:left w:val="none" w:sz="0" w:space="0" w:color="auto"/>
        <w:bottom w:val="none" w:sz="0" w:space="0" w:color="auto"/>
        <w:right w:val="none" w:sz="0" w:space="0" w:color="auto"/>
      </w:divBdr>
    </w:div>
    <w:div w:id="776365987">
      <w:bodyDiv w:val="1"/>
      <w:marLeft w:val="0"/>
      <w:marRight w:val="0"/>
      <w:marTop w:val="0"/>
      <w:marBottom w:val="0"/>
      <w:divBdr>
        <w:top w:val="none" w:sz="0" w:space="0" w:color="auto"/>
        <w:left w:val="none" w:sz="0" w:space="0" w:color="auto"/>
        <w:bottom w:val="none" w:sz="0" w:space="0" w:color="auto"/>
        <w:right w:val="none" w:sz="0" w:space="0" w:color="auto"/>
      </w:divBdr>
    </w:div>
    <w:div w:id="804350044">
      <w:bodyDiv w:val="1"/>
      <w:marLeft w:val="0"/>
      <w:marRight w:val="0"/>
      <w:marTop w:val="0"/>
      <w:marBottom w:val="0"/>
      <w:divBdr>
        <w:top w:val="none" w:sz="0" w:space="0" w:color="auto"/>
        <w:left w:val="none" w:sz="0" w:space="0" w:color="auto"/>
        <w:bottom w:val="none" w:sz="0" w:space="0" w:color="auto"/>
        <w:right w:val="none" w:sz="0" w:space="0" w:color="auto"/>
      </w:divBdr>
    </w:div>
    <w:div w:id="843324027">
      <w:bodyDiv w:val="1"/>
      <w:marLeft w:val="0"/>
      <w:marRight w:val="0"/>
      <w:marTop w:val="0"/>
      <w:marBottom w:val="0"/>
      <w:divBdr>
        <w:top w:val="none" w:sz="0" w:space="0" w:color="auto"/>
        <w:left w:val="none" w:sz="0" w:space="0" w:color="auto"/>
        <w:bottom w:val="none" w:sz="0" w:space="0" w:color="auto"/>
        <w:right w:val="none" w:sz="0" w:space="0" w:color="auto"/>
      </w:divBdr>
    </w:div>
    <w:div w:id="901409527">
      <w:bodyDiv w:val="1"/>
      <w:marLeft w:val="0"/>
      <w:marRight w:val="0"/>
      <w:marTop w:val="0"/>
      <w:marBottom w:val="0"/>
      <w:divBdr>
        <w:top w:val="none" w:sz="0" w:space="0" w:color="auto"/>
        <w:left w:val="none" w:sz="0" w:space="0" w:color="auto"/>
        <w:bottom w:val="none" w:sz="0" w:space="0" w:color="auto"/>
        <w:right w:val="none" w:sz="0" w:space="0" w:color="auto"/>
      </w:divBdr>
    </w:div>
    <w:div w:id="901866009">
      <w:bodyDiv w:val="1"/>
      <w:marLeft w:val="0"/>
      <w:marRight w:val="0"/>
      <w:marTop w:val="0"/>
      <w:marBottom w:val="0"/>
      <w:divBdr>
        <w:top w:val="none" w:sz="0" w:space="0" w:color="auto"/>
        <w:left w:val="none" w:sz="0" w:space="0" w:color="auto"/>
        <w:bottom w:val="none" w:sz="0" w:space="0" w:color="auto"/>
        <w:right w:val="none" w:sz="0" w:space="0" w:color="auto"/>
      </w:divBdr>
    </w:div>
    <w:div w:id="901988688">
      <w:bodyDiv w:val="1"/>
      <w:marLeft w:val="0"/>
      <w:marRight w:val="0"/>
      <w:marTop w:val="0"/>
      <w:marBottom w:val="0"/>
      <w:divBdr>
        <w:top w:val="none" w:sz="0" w:space="0" w:color="auto"/>
        <w:left w:val="none" w:sz="0" w:space="0" w:color="auto"/>
        <w:bottom w:val="none" w:sz="0" w:space="0" w:color="auto"/>
        <w:right w:val="none" w:sz="0" w:space="0" w:color="auto"/>
      </w:divBdr>
    </w:div>
    <w:div w:id="941959050">
      <w:bodyDiv w:val="1"/>
      <w:marLeft w:val="0"/>
      <w:marRight w:val="0"/>
      <w:marTop w:val="0"/>
      <w:marBottom w:val="0"/>
      <w:divBdr>
        <w:top w:val="none" w:sz="0" w:space="0" w:color="auto"/>
        <w:left w:val="none" w:sz="0" w:space="0" w:color="auto"/>
        <w:bottom w:val="none" w:sz="0" w:space="0" w:color="auto"/>
        <w:right w:val="none" w:sz="0" w:space="0" w:color="auto"/>
      </w:divBdr>
    </w:div>
    <w:div w:id="1014571536">
      <w:bodyDiv w:val="1"/>
      <w:marLeft w:val="0"/>
      <w:marRight w:val="0"/>
      <w:marTop w:val="0"/>
      <w:marBottom w:val="0"/>
      <w:divBdr>
        <w:top w:val="none" w:sz="0" w:space="0" w:color="auto"/>
        <w:left w:val="none" w:sz="0" w:space="0" w:color="auto"/>
        <w:bottom w:val="none" w:sz="0" w:space="0" w:color="auto"/>
        <w:right w:val="none" w:sz="0" w:space="0" w:color="auto"/>
      </w:divBdr>
    </w:div>
    <w:div w:id="1026105700">
      <w:bodyDiv w:val="1"/>
      <w:marLeft w:val="0"/>
      <w:marRight w:val="0"/>
      <w:marTop w:val="0"/>
      <w:marBottom w:val="0"/>
      <w:divBdr>
        <w:top w:val="none" w:sz="0" w:space="0" w:color="auto"/>
        <w:left w:val="none" w:sz="0" w:space="0" w:color="auto"/>
        <w:bottom w:val="none" w:sz="0" w:space="0" w:color="auto"/>
        <w:right w:val="none" w:sz="0" w:space="0" w:color="auto"/>
      </w:divBdr>
    </w:div>
    <w:div w:id="1087456138">
      <w:bodyDiv w:val="1"/>
      <w:marLeft w:val="0"/>
      <w:marRight w:val="0"/>
      <w:marTop w:val="0"/>
      <w:marBottom w:val="0"/>
      <w:divBdr>
        <w:top w:val="none" w:sz="0" w:space="0" w:color="auto"/>
        <w:left w:val="none" w:sz="0" w:space="0" w:color="auto"/>
        <w:bottom w:val="none" w:sz="0" w:space="0" w:color="auto"/>
        <w:right w:val="none" w:sz="0" w:space="0" w:color="auto"/>
      </w:divBdr>
    </w:div>
    <w:div w:id="1207178899">
      <w:bodyDiv w:val="1"/>
      <w:marLeft w:val="0"/>
      <w:marRight w:val="0"/>
      <w:marTop w:val="0"/>
      <w:marBottom w:val="0"/>
      <w:divBdr>
        <w:top w:val="none" w:sz="0" w:space="0" w:color="auto"/>
        <w:left w:val="none" w:sz="0" w:space="0" w:color="auto"/>
        <w:bottom w:val="none" w:sz="0" w:space="0" w:color="auto"/>
        <w:right w:val="none" w:sz="0" w:space="0" w:color="auto"/>
      </w:divBdr>
    </w:div>
    <w:div w:id="1234781740">
      <w:bodyDiv w:val="1"/>
      <w:marLeft w:val="0"/>
      <w:marRight w:val="0"/>
      <w:marTop w:val="0"/>
      <w:marBottom w:val="0"/>
      <w:divBdr>
        <w:top w:val="none" w:sz="0" w:space="0" w:color="auto"/>
        <w:left w:val="none" w:sz="0" w:space="0" w:color="auto"/>
        <w:bottom w:val="none" w:sz="0" w:space="0" w:color="auto"/>
        <w:right w:val="none" w:sz="0" w:space="0" w:color="auto"/>
      </w:divBdr>
    </w:div>
    <w:div w:id="1302032487">
      <w:bodyDiv w:val="1"/>
      <w:marLeft w:val="0"/>
      <w:marRight w:val="0"/>
      <w:marTop w:val="0"/>
      <w:marBottom w:val="0"/>
      <w:divBdr>
        <w:top w:val="none" w:sz="0" w:space="0" w:color="auto"/>
        <w:left w:val="none" w:sz="0" w:space="0" w:color="auto"/>
        <w:bottom w:val="none" w:sz="0" w:space="0" w:color="auto"/>
        <w:right w:val="none" w:sz="0" w:space="0" w:color="auto"/>
      </w:divBdr>
    </w:div>
    <w:div w:id="1320039686">
      <w:bodyDiv w:val="1"/>
      <w:marLeft w:val="0"/>
      <w:marRight w:val="0"/>
      <w:marTop w:val="0"/>
      <w:marBottom w:val="0"/>
      <w:divBdr>
        <w:top w:val="none" w:sz="0" w:space="0" w:color="auto"/>
        <w:left w:val="none" w:sz="0" w:space="0" w:color="auto"/>
        <w:bottom w:val="none" w:sz="0" w:space="0" w:color="auto"/>
        <w:right w:val="none" w:sz="0" w:space="0" w:color="auto"/>
      </w:divBdr>
    </w:div>
    <w:div w:id="1324579486">
      <w:bodyDiv w:val="1"/>
      <w:marLeft w:val="0"/>
      <w:marRight w:val="0"/>
      <w:marTop w:val="0"/>
      <w:marBottom w:val="0"/>
      <w:divBdr>
        <w:top w:val="none" w:sz="0" w:space="0" w:color="auto"/>
        <w:left w:val="none" w:sz="0" w:space="0" w:color="auto"/>
        <w:bottom w:val="none" w:sz="0" w:space="0" w:color="auto"/>
        <w:right w:val="none" w:sz="0" w:space="0" w:color="auto"/>
      </w:divBdr>
    </w:div>
    <w:div w:id="1329988430">
      <w:bodyDiv w:val="1"/>
      <w:marLeft w:val="0"/>
      <w:marRight w:val="0"/>
      <w:marTop w:val="0"/>
      <w:marBottom w:val="0"/>
      <w:divBdr>
        <w:top w:val="none" w:sz="0" w:space="0" w:color="auto"/>
        <w:left w:val="none" w:sz="0" w:space="0" w:color="auto"/>
        <w:bottom w:val="none" w:sz="0" w:space="0" w:color="auto"/>
        <w:right w:val="none" w:sz="0" w:space="0" w:color="auto"/>
      </w:divBdr>
    </w:div>
    <w:div w:id="1542089754">
      <w:bodyDiv w:val="1"/>
      <w:marLeft w:val="0"/>
      <w:marRight w:val="0"/>
      <w:marTop w:val="0"/>
      <w:marBottom w:val="0"/>
      <w:divBdr>
        <w:top w:val="none" w:sz="0" w:space="0" w:color="auto"/>
        <w:left w:val="none" w:sz="0" w:space="0" w:color="auto"/>
        <w:bottom w:val="none" w:sz="0" w:space="0" w:color="auto"/>
        <w:right w:val="none" w:sz="0" w:space="0" w:color="auto"/>
      </w:divBdr>
    </w:div>
    <w:div w:id="1572085090">
      <w:bodyDiv w:val="1"/>
      <w:marLeft w:val="0"/>
      <w:marRight w:val="0"/>
      <w:marTop w:val="0"/>
      <w:marBottom w:val="0"/>
      <w:divBdr>
        <w:top w:val="none" w:sz="0" w:space="0" w:color="auto"/>
        <w:left w:val="none" w:sz="0" w:space="0" w:color="auto"/>
        <w:bottom w:val="none" w:sz="0" w:space="0" w:color="auto"/>
        <w:right w:val="none" w:sz="0" w:space="0" w:color="auto"/>
      </w:divBdr>
    </w:div>
    <w:div w:id="1593928077">
      <w:bodyDiv w:val="1"/>
      <w:marLeft w:val="0"/>
      <w:marRight w:val="0"/>
      <w:marTop w:val="0"/>
      <w:marBottom w:val="0"/>
      <w:divBdr>
        <w:top w:val="none" w:sz="0" w:space="0" w:color="auto"/>
        <w:left w:val="none" w:sz="0" w:space="0" w:color="auto"/>
        <w:bottom w:val="none" w:sz="0" w:space="0" w:color="auto"/>
        <w:right w:val="none" w:sz="0" w:space="0" w:color="auto"/>
      </w:divBdr>
    </w:div>
    <w:div w:id="1750271467">
      <w:bodyDiv w:val="1"/>
      <w:marLeft w:val="0"/>
      <w:marRight w:val="0"/>
      <w:marTop w:val="0"/>
      <w:marBottom w:val="0"/>
      <w:divBdr>
        <w:top w:val="none" w:sz="0" w:space="0" w:color="auto"/>
        <w:left w:val="none" w:sz="0" w:space="0" w:color="auto"/>
        <w:bottom w:val="none" w:sz="0" w:space="0" w:color="auto"/>
        <w:right w:val="none" w:sz="0" w:space="0" w:color="auto"/>
      </w:divBdr>
    </w:div>
    <w:div w:id="1771075607">
      <w:bodyDiv w:val="1"/>
      <w:marLeft w:val="0"/>
      <w:marRight w:val="0"/>
      <w:marTop w:val="0"/>
      <w:marBottom w:val="0"/>
      <w:divBdr>
        <w:top w:val="none" w:sz="0" w:space="0" w:color="auto"/>
        <w:left w:val="none" w:sz="0" w:space="0" w:color="auto"/>
        <w:bottom w:val="none" w:sz="0" w:space="0" w:color="auto"/>
        <w:right w:val="none" w:sz="0" w:space="0" w:color="auto"/>
      </w:divBdr>
    </w:div>
    <w:div w:id="1787577074">
      <w:bodyDiv w:val="1"/>
      <w:marLeft w:val="0"/>
      <w:marRight w:val="0"/>
      <w:marTop w:val="0"/>
      <w:marBottom w:val="0"/>
      <w:divBdr>
        <w:top w:val="none" w:sz="0" w:space="0" w:color="auto"/>
        <w:left w:val="none" w:sz="0" w:space="0" w:color="auto"/>
        <w:bottom w:val="none" w:sz="0" w:space="0" w:color="auto"/>
        <w:right w:val="none" w:sz="0" w:space="0" w:color="auto"/>
      </w:divBdr>
    </w:div>
    <w:div w:id="1790197275">
      <w:bodyDiv w:val="1"/>
      <w:marLeft w:val="0"/>
      <w:marRight w:val="0"/>
      <w:marTop w:val="0"/>
      <w:marBottom w:val="0"/>
      <w:divBdr>
        <w:top w:val="none" w:sz="0" w:space="0" w:color="auto"/>
        <w:left w:val="none" w:sz="0" w:space="0" w:color="auto"/>
        <w:bottom w:val="none" w:sz="0" w:space="0" w:color="auto"/>
        <w:right w:val="none" w:sz="0" w:space="0" w:color="auto"/>
      </w:divBdr>
    </w:div>
    <w:div w:id="1803036193">
      <w:bodyDiv w:val="1"/>
      <w:marLeft w:val="0"/>
      <w:marRight w:val="0"/>
      <w:marTop w:val="0"/>
      <w:marBottom w:val="0"/>
      <w:divBdr>
        <w:top w:val="none" w:sz="0" w:space="0" w:color="auto"/>
        <w:left w:val="none" w:sz="0" w:space="0" w:color="auto"/>
        <w:bottom w:val="none" w:sz="0" w:space="0" w:color="auto"/>
        <w:right w:val="none" w:sz="0" w:space="0" w:color="auto"/>
      </w:divBdr>
    </w:div>
    <w:div w:id="1873885753">
      <w:bodyDiv w:val="1"/>
      <w:marLeft w:val="0"/>
      <w:marRight w:val="0"/>
      <w:marTop w:val="0"/>
      <w:marBottom w:val="0"/>
      <w:divBdr>
        <w:top w:val="none" w:sz="0" w:space="0" w:color="auto"/>
        <w:left w:val="none" w:sz="0" w:space="0" w:color="auto"/>
        <w:bottom w:val="none" w:sz="0" w:space="0" w:color="auto"/>
        <w:right w:val="none" w:sz="0" w:space="0" w:color="auto"/>
      </w:divBdr>
    </w:div>
    <w:div w:id="1955821795">
      <w:bodyDiv w:val="1"/>
      <w:marLeft w:val="0"/>
      <w:marRight w:val="0"/>
      <w:marTop w:val="0"/>
      <w:marBottom w:val="0"/>
      <w:divBdr>
        <w:top w:val="none" w:sz="0" w:space="0" w:color="auto"/>
        <w:left w:val="none" w:sz="0" w:space="0" w:color="auto"/>
        <w:bottom w:val="none" w:sz="0" w:space="0" w:color="auto"/>
        <w:right w:val="none" w:sz="0" w:space="0" w:color="auto"/>
      </w:divBdr>
    </w:div>
    <w:div w:id="2011330462">
      <w:bodyDiv w:val="1"/>
      <w:marLeft w:val="0"/>
      <w:marRight w:val="0"/>
      <w:marTop w:val="0"/>
      <w:marBottom w:val="0"/>
      <w:divBdr>
        <w:top w:val="none" w:sz="0" w:space="0" w:color="auto"/>
        <w:left w:val="none" w:sz="0" w:space="0" w:color="auto"/>
        <w:bottom w:val="none" w:sz="0" w:space="0" w:color="auto"/>
        <w:right w:val="none" w:sz="0" w:space="0" w:color="auto"/>
      </w:divBdr>
    </w:div>
    <w:div w:id="2038120340">
      <w:bodyDiv w:val="1"/>
      <w:marLeft w:val="0"/>
      <w:marRight w:val="0"/>
      <w:marTop w:val="0"/>
      <w:marBottom w:val="0"/>
      <w:divBdr>
        <w:top w:val="none" w:sz="0" w:space="0" w:color="auto"/>
        <w:left w:val="none" w:sz="0" w:space="0" w:color="auto"/>
        <w:bottom w:val="none" w:sz="0" w:space="0" w:color="auto"/>
        <w:right w:val="none" w:sz="0" w:space="0" w:color="auto"/>
      </w:divBdr>
    </w:div>
    <w:div w:id="2083718995">
      <w:bodyDiv w:val="1"/>
      <w:marLeft w:val="0"/>
      <w:marRight w:val="0"/>
      <w:marTop w:val="0"/>
      <w:marBottom w:val="0"/>
      <w:divBdr>
        <w:top w:val="none" w:sz="0" w:space="0" w:color="auto"/>
        <w:left w:val="none" w:sz="0" w:space="0" w:color="auto"/>
        <w:bottom w:val="none" w:sz="0" w:space="0" w:color="auto"/>
        <w:right w:val="none" w:sz="0" w:space="0" w:color="auto"/>
      </w:divBdr>
    </w:div>
    <w:div w:id="2109691666">
      <w:bodyDiv w:val="1"/>
      <w:marLeft w:val="0"/>
      <w:marRight w:val="0"/>
      <w:marTop w:val="0"/>
      <w:marBottom w:val="0"/>
      <w:divBdr>
        <w:top w:val="none" w:sz="0" w:space="0" w:color="auto"/>
        <w:left w:val="none" w:sz="0" w:space="0" w:color="auto"/>
        <w:bottom w:val="none" w:sz="0" w:space="0" w:color="auto"/>
        <w:right w:val="none" w:sz="0" w:space="0" w:color="auto"/>
      </w:divBdr>
    </w:div>
    <w:div w:id="212422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ctorconnect.gov.au"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healthworkforcedata@health.gov.au" TargetMode="External"/><Relationship Id="rId4" Type="http://schemas.openxmlformats.org/officeDocument/2006/relationships/settings" Target="settings.xml"/><Relationship Id="rId9" Type="http://schemas.openxmlformats.org/officeDocument/2006/relationships/hyperlink" Target="mailto:copyright@health.gov.au"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99A039-84F0-4EB6-A989-A27D5445D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1223</Words>
  <Characters>6974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8181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Newman, Jaclyn</cp:lastModifiedBy>
  <cp:revision>3</cp:revision>
  <cp:lastPrinted>2019-05-06T03:35:00Z</cp:lastPrinted>
  <dcterms:created xsi:type="dcterms:W3CDTF">2019-08-01T22:58:00Z</dcterms:created>
  <dcterms:modified xsi:type="dcterms:W3CDTF">2019-08-01T23:00:00Z</dcterms:modified>
</cp:coreProperties>
</file>